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80" w:line="240" w:lineRule="auto"/>
        <w:ind w:left="0" w:right="0" w:firstLine="301"/>
        <w:jc w:val="center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1" w:name="_GoBack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Д</w:t>
      </w:r>
      <w:r>
        <w:rPr>
          <w:rFonts w:ascii="Times New Roman" w:hAnsi="Times New Roman" w:eastAsia="Times New Roman" w:cs="Times New Roman"/>
          <w:b/>
          <w:i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идактический потенциал корпусных технологий при изучении синтаксиса в школьном курсе русского языка</w:t>
      </w:r>
    </w:p>
    <w:bookmarkEnd w:id="1"/>
    <w:p w14:paraId="35DFF85F">
      <w:pPr>
        <w:keepNext w:val="0"/>
        <w:keepLines w:val="0"/>
        <w:pageBreakBefore w:val="0"/>
        <w:spacing w:before="240" w:after="120" w:line="240" w:lineRule="auto"/>
        <w:ind w:firstLine="300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Алеева Ольга Антоновна</w:t>
      </w:r>
    </w:p>
    <w:p w14:paraId="00000003">
      <w:pPr>
        <w:keepNext w:val="0"/>
        <w:keepLines w:val="0"/>
        <w:pageBreakBefore w:val="0"/>
        <w:spacing w:before="240" w:after="120" w:line="240" w:lineRule="auto"/>
        <w:ind w:firstLine="30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Студенты Казанского (Приволжского) федерального университета, Института филологии и межкультурной коммуникации, Казань, Россия</w:t>
      </w:r>
    </w:p>
    <w:p w14:paraId="00000004">
      <w:pPr>
        <w:keepNext w:val="0"/>
        <w:keepLines w:val="0"/>
        <w:pageBreakBefore w:val="0"/>
        <w:spacing w:before="240" w:after="120" w:line="240" w:lineRule="auto"/>
        <w:ind w:firstLine="300"/>
        <w:jc w:val="center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rtl w:val="0"/>
        </w:rPr>
        <w:t xml:space="preserve">E-mail: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HYPERLINK "mailto:olga.aleeva.02@mail.ru" \h </w:instrText>
      </w:r>
      <w:r>
        <w:rPr>
          <w:i/>
          <w:iCs/>
        </w:rPr>
        <w:fldChar w:fldCharType="separate"/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rtl w:val="0"/>
        </w:rPr>
        <w:t>olga.aleeva.02@mail.ru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rtl w:val="0"/>
        </w:rPr>
        <w:fldChar w:fldCharType="end"/>
      </w:r>
    </w:p>
    <w:p w14:paraId="00000006">
      <w:pPr>
        <w:keepNext w:val="0"/>
        <w:keepLines w:val="0"/>
        <w:pageBreakBefore w:val="0"/>
        <w:widowControl/>
        <w:shd w:val="clear" w:fill="auto"/>
        <w:spacing w:before="0" w:after="0" w:line="240" w:lineRule="auto"/>
        <w:ind w:firstLine="30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>Современные образовательные стандарты требуют адаптации методики преподавания русского языка к новым вызовам. Перед учащимися ставятся задачи развития функциональной грамотности, исследовательских навыков и умений работы с информационно-коммуникационными технологиями (ИКТ) [ФГОС ООО: 4-5]. Национальный корпус русского языка (НКРЯ), будучи крупнейшей отечественной лингвистической базой данных, отвечает этим требованиям, предоставляя широкий спектр возможностей для изучения синтаксиса на основе анализа языковых явлений, исследования конструкций и работы с текстами разного уровня сложности. Применение НКРЯ в учебном процессе позволяет сочетать традиционные и цифровые методы обучения, что свидетельствует об актуальности настоящего работы [</w:t>
      </w:r>
      <w:r>
        <w:fldChar w:fldCharType="begin"/>
      </w:r>
      <w:r>
        <w:instrText xml:space="preserve"> HYPERLINK "https://ruscorpora.ru/"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t>https://ruscorpora.ru/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]. </w:t>
      </w:r>
      <w:r>
        <w:rPr>
          <w:rFonts w:ascii="Times New Roman" w:hAnsi="Times New Roman" w:eastAsia="Times New Roman" w:cs="Times New Roman"/>
          <w:b/>
          <w:color w:val="202124"/>
          <w:sz w:val="24"/>
          <w:szCs w:val="24"/>
          <w:highlight w:val="white"/>
          <w:rtl w:val="0"/>
        </w:rPr>
        <w:t>Цель исследования  </w:t>
      </w:r>
      <w:r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– разработка комплекса упражнений и методических рекомендаций по работе с НКРЯ в рамках изучения школьного курса синтаксиса. </w:t>
      </w:r>
      <w:r>
        <w:rPr>
          <w:rFonts w:ascii="Times New Roman" w:hAnsi="Times New Roman" w:eastAsia="Times New Roman" w:cs="Times New Roman"/>
          <w:b/>
          <w:color w:val="202124"/>
          <w:sz w:val="24"/>
          <w:szCs w:val="24"/>
          <w:highlight w:val="white"/>
          <w:rtl w:val="0"/>
        </w:rPr>
        <w:t xml:space="preserve">Объект исследования </w:t>
      </w:r>
      <w:r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– дидактический потенциал корпусных технологий. </w:t>
      </w:r>
      <w:r>
        <w:rPr>
          <w:rFonts w:ascii="Times New Roman" w:hAnsi="Times New Roman" w:eastAsia="Times New Roman" w:cs="Times New Roman"/>
          <w:b/>
          <w:color w:val="202124"/>
          <w:sz w:val="24"/>
          <w:szCs w:val="24"/>
          <w:highlight w:val="white"/>
          <w:rtl w:val="0"/>
        </w:rPr>
        <w:t xml:space="preserve">Предмет изучения </w:t>
      </w:r>
      <w:r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– особенности организации работы по изучению синтаксиса с применением корпусных технологий. </w:t>
      </w:r>
      <w:r>
        <w:rPr>
          <w:rFonts w:ascii="Times New Roman" w:hAnsi="Times New Roman" w:eastAsia="Times New Roman" w:cs="Times New Roman"/>
          <w:b/>
          <w:color w:val="202124"/>
          <w:sz w:val="24"/>
          <w:szCs w:val="24"/>
          <w:highlight w:val="white"/>
          <w:rtl w:val="0"/>
        </w:rPr>
        <w:t>Теоретической основой</w:t>
      </w:r>
      <w:r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 исследования послужили работы таких ученых, как Н.Р. Добрушина, А.И. Левинзон, А.И. Ольховская, С.О. Савчук, Д.В. Сичинава, Ю.И. Сёмич, Е.А.Слободян, А. Б. Антопольский и др. В качестве основных методов исследования были выбраны метод анализа литературы по теме, метод изучения и обобщения сведений, метод наблюдения. </w:t>
      </w:r>
    </w:p>
    <w:p w14:paraId="00000007">
      <w:pPr>
        <w:keepNext w:val="0"/>
        <w:keepLines w:val="0"/>
        <w:pageBreakBefore w:val="0"/>
        <w:widowControl/>
        <w:shd w:val="clear" w:fill="auto"/>
        <w:spacing w:before="0" w:after="0" w:line="240" w:lineRule="auto"/>
        <w:ind w:firstLine="300"/>
        <w:jc w:val="both"/>
        <w:rPr>
          <w:rFonts w:ascii="Times New Roman" w:hAnsi="Times New Roman" w:eastAsia="Times New Roman" w:cs="Times New Roman"/>
          <w:smallCaps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t xml:space="preserve">Н.Р. Добрушина выделяет три основных направления использования НКРЯ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сфере образования: 1) составление заданий и упражнений; 2) организация самостоятельной исследовательской работы студентов и школьников; 3) верификация данных учебников и словарей [Добрушина 2009: 336]. </w:t>
      </w:r>
      <w:r>
        <w:rPr>
          <w:rFonts w:ascii="Times New Roman" w:hAnsi="Times New Roman" w:eastAsia="Times New Roman" w:cs="Times New Roman"/>
          <w:smallCaps w:val="0"/>
          <w:sz w:val="24"/>
          <w:szCs w:val="24"/>
          <w:rtl w:val="0"/>
        </w:rPr>
        <w:t>В ходе исследования приоритетными были выбраны первое и второе направления. Также мы обнаружили, что: 1) НКРЯ содержит большое количество размеченных синтаксических конструкций, что делает его удобным инструментом для анализа структуры простых и сложных предложений; 2) включение корпусных технологий в процесс обучения синтаксису развивает у учащихся навыки самостоятельного исследования языка, критического мышления, функциональной грамотности и цифровой компетенции; 3) работа с НКРЯ способствует повышению качества образовательного процесса, реализации принципов индивидуализации и дифференциации обучения.</w:t>
      </w:r>
    </w:p>
    <w:p w14:paraId="00000008">
      <w:pPr>
        <w:keepNext w:val="0"/>
        <w:keepLines w:val="0"/>
        <w:pageBreakBefore w:val="0"/>
        <w:widowControl/>
        <w:shd w:val="clear" w:fill="auto"/>
        <w:spacing w:before="0" w:after="0" w:line="240" w:lineRule="auto"/>
        <w:ind w:firstLine="300"/>
        <w:jc w:val="both"/>
        <w:rPr>
          <w:rFonts w:ascii="Times New Roman" w:hAnsi="Times New Roman" w:eastAsia="Times New Roman" w:cs="Times New Roman"/>
          <w:smallCaps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smallCaps w:val="0"/>
          <w:sz w:val="24"/>
          <w:szCs w:val="24"/>
          <w:rtl w:val="0"/>
        </w:rPr>
        <w:t>В результате исследования был разработан комплекс из 15 упражнений аналитического, аналитико-синтетического и синтетического характера по разделу «Синтаксис русского языка» на базе Обучающего корпуса НКРЯ. Комплекс включает упражнения по таким темам, как: 1) словосочетание; 2) простое предложение (главные и второстепенные члены предложения, односоставные и осложненные предложения); 3) сложное предложение (средства связи между частями сложного предложения, сложносочиненное, сложноподчиненное, сложное бессоюзное предложения). Ниже представлены примеры упражнений:</w:t>
      </w:r>
    </w:p>
    <w:p w14:paraId="00000009">
      <w:pPr>
        <w:pStyle w:val="5"/>
        <w:keepNext w:val="0"/>
        <w:keepLines w:val="0"/>
        <w:pageBreakBefore w:val="0"/>
        <w:widowControl/>
        <w:spacing w:before="0" w:after="0" w:line="240" w:lineRule="auto"/>
        <w:ind w:firstLine="300"/>
        <w:jc w:val="both"/>
        <w:rPr>
          <w:rFonts w:ascii="Times New Roman" w:hAnsi="Times New Roman" w:eastAsia="Times New Roman" w:cs="Times New Roman"/>
          <w:b w:val="0"/>
          <w:smallCap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mallCaps w:val="0"/>
          <w:color w:val="000000"/>
          <w:sz w:val="24"/>
          <w:szCs w:val="24"/>
          <w:rtl w:val="0"/>
        </w:rPr>
        <w:t xml:space="preserve">Упражнение 1. </w:t>
      </w:r>
      <w:r>
        <w:rPr>
          <w:rFonts w:ascii="Times New Roman" w:hAnsi="Times New Roman" w:eastAsia="Times New Roman" w:cs="Times New Roman"/>
          <w:b w:val="0"/>
          <w:smallCaps w:val="0"/>
          <w:color w:val="000000"/>
          <w:sz w:val="24"/>
          <w:szCs w:val="24"/>
          <w:rtl w:val="0"/>
        </w:rPr>
        <w:t>Аналитическое упражнение на тему: «Словосочетание», 5</w:t>
      </w:r>
      <w:r>
        <w:rPr>
          <w:rFonts w:ascii="Times New Roman" w:hAnsi="Times New Roman" w:eastAsia="Times New Roman" w:cs="Times New Roman"/>
          <w:smallCaps w:val="0"/>
          <w:color w:val="000000"/>
          <w:sz w:val="24"/>
          <w:szCs w:val="24"/>
          <w:rtl w:val="0"/>
        </w:rPr>
        <w:t>–</w:t>
      </w:r>
      <w:r>
        <w:rPr>
          <w:rFonts w:ascii="Times New Roman" w:hAnsi="Times New Roman" w:eastAsia="Times New Roman" w:cs="Times New Roman"/>
          <w:b w:val="0"/>
          <w:smallCaps w:val="0"/>
          <w:color w:val="000000"/>
          <w:sz w:val="24"/>
          <w:szCs w:val="24"/>
          <w:rtl w:val="0"/>
        </w:rPr>
        <w:t>7 класс. Формируемые навыки: 1) умение различать виды словосочетаний по типу связи; 2) навык анализа структуры словосочетания. Методические рекомендации: ученикам предлагается корпусный материал с примерами словосочетаний. Они должны определить тип связи между словами, выявить зависимое слово и указать его морфологические характеристики.</w:t>
      </w:r>
    </w:p>
    <w:p w14:paraId="0000000A">
      <w:pPr>
        <w:pStyle w:val="5"/>
        <w:keepNext w:val="0"/>
        <w:keepLines w:val="0"/>
        <w:pageBreakBefore w:val="0"/>
        <w:widowControl/>
        <w:spacing w:before="0" w:after="0" w:line="240" w:lineRule="auto"/>
        <w:ind w:firstLine="30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b/>
          <w:smallCaps w:val="0"/>
          <w:color w:val="000000"/>
          <w:sz w:val="24"/>
          <w:szCs w:val="24"/>
          <w:rtl w:val="0"/>
        </w:rPr>
        <w:t xml:space="preserve">Упражнение 2. </w:t>
      </w:r>
      <w:r>
        <w:rPr>
          <w:rFonts w:ascii="Times New Roman" w:hAnsi="Times New Roman" w:eastAsia="Times New Roman" w:cs="Times New Roman"/>
          <w:b w:val="0"/>
          <w:smallCaps w:val="0"/>
          <w:color w:val="000000"/>
          <w:sz w:val="24"/>
          <w:szCs w:val="24"/>
          <w:rtl w:val="0"/>
        </w:rPr>
        <w:t>Аналитическое упражнение на тему: «Грамматическая основа предложения», 8</w:t>
      </w:r>
      <w:r>
        <w:rPr>
          <w:rFonts w:ascii="Times New Roman" w:hAnsi="Times New Roman" w:eastAsia="Times New Roman" w:cs="Times New Roman"/>
          <w:smallCaps w:val="0"/>
          <w:color w:val="000000"/>
          <w:sz w:val="24"/>
          <w:szCs w:val="24"/>
          <w:rtl w:val="0"/>
        </w:rPr>
        <w:t>–</w:t>
      </w:r>
      <w:r>
        <w:rPr>
          <w:rFonts w:ascii="Times New Roman" w:hAnsi="Times New Roman" w:eastAsia="Times New Roman" w:cs="Times New Roman"/>
          <w:b w:val="0"/>
          <w:smallCaps w:val="0"/>
          <w:color w:val="000000"/>
          <w:sz w:val="24"/>
          <w:szCs w:val="24"/>
          <w:rtl w:val="0"/>
        </w:rPr>
        <w:t>9 класс</w:t>
      </w:r>
      <w:r>
        <w:rPr>
          <w:rFonts w:ascii="Times New Roman" w:hAnsi="Times New Roman" w:eastAsia="Times New Roman" w:cs="Times New Roman"/>
          <w:b/>
          <w:smallCaps w:val="0"/>
          <w:color w:val="000000"/>
          <w:sz w:val="24"/>
          <w:szCs w:val="24"/>
          <w:rtl w:val="0"/>
        </w:rPr>
        <w:t xml:space="preserve">. </w:t>
      </w:r>
      <w:r>
        <w:rPr>
          <w:rFonts w:ascii="Times New Roman" w:hAnsi="Times New Roman" w:eastAsia="Times New Roman" w:cs="Times New Roman"/>
          <w:b w:val="0"/>
          <w:smallCaps w:val="0"/>
          <w:color w:val="000000"/>
          <w:sz w:val="24"/>
          <w:szCs w:val="24"/>
          <w:rtl w:val="0"/>
        </w:rPr>
        <w:t>Формируемые навыки: 1) умение выделять грамматическую основу предложения; 2) умение определять способ выражения подлежащего и сказуемого. Методические рекомендации: ученикам предлагается корпусный материал с примерами простых и сложных предложений, где учащиеся должны сначала во всех предложениях определить грамматические основы, затем определить, чем выражено подлежащее, далее, чем выражено сказуемое и каким способом. Такое упражнение позволяет как закрепить новый материал, так и определить пробелы в знаниях у учеников.</w:t>
      </w:r>
    </w:p>
    <w:p w14:paraId="0000000B">
      <w:pPr>
        <w:pStyle w:val="5"/>
        <w:keepNext w:val="0"/>
        <w:keepLines w:val="0"/>
        <w:pageBreakBefore w:val="0"/>
        <w:widowControl/>
        <w:spacing w:before="0" w:after="0" w:line="240" w:lineRule="auto"/>
        <w:ind w:firstLine="300"/>
        <w:jc w:val="both"/>
        <w:rPr>
          <w:rFonts w:ascii="Times New Roman" w:hAnsi="Times New Roman" w:eastAsia="Times New Roman" w:cs="Times New Roman"/>
          <w:smallCap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mallCaps w:val="0"/>
          <w:color w:val="000000"/>
          <w:sz w:val="24"/>
          <w:szCs w:val="24"/>
          <w:rtl w:val="0"/>
        </w:rPr>
        <w:t>Упражнение 3</w:t>
      </w:r>
      <w:r>
        <w:rPr>
          <w:rFonts w:ascii="Times New Roman" w:hAnsi="Times New Roman" w:eastAsia="Times New Roman" w:cs="Times New Roman"/>
          <w:smallCaps w:val="0"/>
          <w:color w:val="000000"/>
          <w:sz w:val="24"/>
          <w:szCs w:val="24"/>
          <w:rtl w:val="0"/>
        </w:rPr>
        <w:t xml:space="preserve">. Аналитическо-синтетическое упражнение на тему: «Синтаксическая организация сложных предложений с разными видами связи», 9–11 класс. Формируемые навыки: 1) умение анализировать сложные предложения с различными видами связи; 2) способность дифференцировать синтаксические конструкции по структуре и семантике; 3) навык интерпретации грамматических связей с учетом контекста; 4) развитие функциональной грамотности через работу с аутентичными текстами. Методические рекомендации: ученикам предлагается найти в Обучающем корпусе НКРЯ не менее 5 примеров предложений, содержащих сложные конструкции. Рекомендуется подбирать примеры из текстов разных функциональных стилей, чтобы продемонстрировать вариативность употребления сложных предложений. </w:t>
      </w:r>
    </w:p>
    <w:p w14:paraId="0000000C">
      <w:pPr>
        <w:pStyle w:val="5"/>
        <w:keepNext w:val="0"/>
        <w:keepLines w:val="0"/>
        <w:pageBreakBefore w:val="0"/>
        <w:widowControl/>
        <w:spacing w:before="0" w:after="0" w:line="240" w:lineRule="auto"/>
        <w:ind w:firstLine="300"/>
        <w:jc w:val="both"/>
        <w:rPr>
          <w:rFonts w:ascii="Times New Roman" w:hAnsi="Times New Roman" w:eastAsia="Times New Roman" w:cs="Times New Roman"/>
          <w:b w:val="0"/>
          <w:smallCap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mallCaps w:val="0"/>
          <w:color w:val="000000"/>
          <w:sz w:val="24"/>
          <w:szCs w:val="24"/>
          <w:rtl w:val="0"/>
        </w:rPr>
        <w:t>Использование НКРЯ в преподавании синтаксиса способствует лучшему усвоению материала. Анализ реальных языковых примеров развивает критическое мышление, функциональную грамотность и цифровую компетентность. Разработка и внедрение корпусных технологий в процесс обучения русскому языку открывает новые перспективы для совершенствования методики преподавания.</w:t>
      </w:r>
    </w:p>
    <w:p w14:paraId="0000000D">
      <w:pPr>
        <w:keepNext w:val="0"/>
        <w:keepLines w:val="0"/>
        <w:pageBreakBefore w:val="0"/>
        <w:spacing w:before="240" w:after="240" w:line="240" w:lineRule="auto"/>
        <w:ind w:firstLine="30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Литература</w:t>
      </w:r>
    </w:p>
    <w:p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fill="auto"/>
        <w:spacing w:before="0" w:after="0" w:line="240" w:lineRule="auto"/>
        <w:ind w:left="142" w:right="0" w:firstLine="3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Добрушина Н. Р. Корпусные методики обучения русскому языку // Национальный корпус русского языка: 2006-2008. Новые результаты и перспективы. СПб., 2009. С. 335–352.</w:t>
      </w:r>
    </w:p>
    <w:p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fill="auto"/>
        <w:spacing w:before="0" w:after="0" w:line="240" w:lineRule="auto"/>
        <w:ind w:left="142" w:right="0" w:firstLine="3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singl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Национальный корпус русского языка: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t xml:space="preserve"> </w:t>
      </w:r>
      <w:r>
        <w:fldChar w:fldCharType="begin"/>
      </w:r>
      <w:r>
        <w:instrText xml:space="preserve"> HYPERLINK "https://ruscorpora.ru/"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t>https://ruscorpora.ru/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fldChar w:fldCharType="end"/>
      </w:r>
    </w:p>
    <w:p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fill="auto"/>
        <w:spacing w:before="0" w:after="0" w:line="240" w:lineRule="auto"/>
        <w:ind w:left="142" w:right="0" w:firstLine="30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ФГОС ООО: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rtl w:val="0"/>
        </w:rPr>
        <w:t>https://edsoo.ru/wp-content/uploads/2023/08/Приказ-№-287-от-31.05.2021-ФГОС_ООО.pdf</w:t>
      </w:r>
    </w:p>
    <w:sectPr>
      <w:pgSz w:w="11906" w:h="16838"/>
      <w:pgMar w:top="1134" w:right="1418" w:bottom="1134" w:left="1418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96B18"/>
    <w:multiLevelType w:val="multilevel"/>
    <w:tmpl w:val="B6196B18"/>
    <w:lvl w:ilvl="0" w:tentative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23B412F"/>
    <w:rsid w:val="0B752789"/>
    <w:rsid w:val="1CB72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color w:val="666666"/>
      <w:sz w:val="30"/>
      <w:szCs w:val="30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107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2025-03-02T09:42:00Z</dcterms:created>
  <dc:creator>Оля</dc:creator>
  <cp:lastModifiedBy>Ольга Мелехова</cp:lastModifiedBy>
  <dcterms:modified xsi:type="dcterms:W3CDTF">2025-03-02T13:02:46Z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1C8C6E05FBF542F9909144C0B6E6EA77_13</vt:lpwstr>
  </property>
</Properties>
</file>