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 w:line="360" w:lineRule="auto"/>
        <w:ind/>
        <w:rPr>
          <w:rFonts w:ascii="Times New Roman" w:hAnsi="Times New Roman"/>
          <w:sz w:val="28"/>
        </w:rPr>
      </w:pPr>
    </w:p>
    <w:p w14:paraId="02000000">
      <w:pPr>
        <w:spacing w:after="0" w:before="0" w:line="36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b w:val="0"/>
          <w:i w:val="0"/>
          <w:caps w:val="1"/>
          <w:color w:val="1A1A1A"/>
          <w:spacing w:val="0"/>
          <w:sz w:val="28"/>
          <w:highlight w:val="white"/>
        </w:rPr>
        <w:t>Частотные характеристики  признаков семантического пространства социальной глагольной лексики английского языка с семантическим компонентом "Образование"</w:t>
      </w:r>
    </w:p>
    <w:p w14:paraId="03000000">
      <w:pPr>
        <w:spacing w:after="0" w:before="0" w:line="360" w:lineRule="auto"/>
        <w:ind/>
        <w:jc w:val="center"/>
        <w:rPr>
          <w:rFonts w:ascii="Times New Roman" w:hAnsi="Times New Roman"/>
          <w:caps w:val="0"/>
          <w:sz w:val="28"/>
        </w:rPr>
      </w:pPr>
      <w:r>
        <w:rPr>
          <w:rFonts w:ascii="Times New Roman" w:hAnsi="Times New Roman"/>
          <w:caps w:val="0"/>
          <w:sz w:val="28"/>
        </w:rPr>
        <w:t>Балабанова Наталья Владиславовна</w:t>
      </w:r>
    </w:p>
    <w:p w14:paraId="04000000">
      <w:pPr>
        <w:spacing w:after="0" w:before="0" w:line="360" w:lineRule="auto"/>
        <w:ind/>
        <w:jc w:val="center"/>
        <w:rPr>
          <w:rFonts w:ascii="Times New Roman" w:hAnsi="Times New Roman"/>
          <w:caps w:val="0"/>
          <w:sz w:val="28"/>
        </w:rPr>
      </w:pPr>
      <w:r>
        <w:rPr>
          <w:sz w:val="28"/>
        </w:rPr>
        <w:t>Frequency characteristics of features of the semantic space of the English social verbal lexicon with the semantic component "Education"</w:t>
      </w:r>
    </w:p>
    <w:p w14:paraId="05000000">
      <w:pPr>
        <w:spacing w:after="0" w:before="0" w:line="360" w:lineRule="auto"/>
        <w:ind/>
        <w:jc w:val="center"/>
        <w:rPr>
          <w:rFonts w:ascii="Times New Roman" w:hAnsi="Times New Roman"/>
          <w:caps w:val="0"/>
          <w:sz w:val="28"/>
        </w:rPr>
      </w:pPr>
      <w:r>
        <w:rPr>
          <w:rFonts w:ascii="Times New Roman" w:hAnsi="Times New Roman"/>
          <w:caps w:val="0"/>
          <w:sz w:val="28"/>
        </w:rPr>
        <w:t>Balabanova Natalja Vladislavovna</w:t>
      </w:r>
    </w:p>
    <w:p w14:paraId="06000000">
      <w:pPr>
        <w:spacing w:after="0" w:before="0" w:line="360" w:lineRule="auto"/>
        <w:ind w:firstLine="709"/>
        <w:jc w:val="left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Annotation:</w:t>
      </w:r>
      <w:r>
        <w:rPr>
          <w:rFonts w:ascii="Times New Roman" w:hAnsi="Times New Roman"/>
          <w:caps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our work, the purpose of the </w:t>
      </w:r>
      <w:r>
        <w:rPr>
          <w:rFonts w:ascii="Times New Roman" w:hAnsi="Times New Roman"/>
          <w:sz w:val="24"/>
        </w:rPr>
        <w:t>research</w:t>
      </w:r>
      <w:r>
        <w:rPr>
          <w:rFonts w:ascii="Times New Roman" w:hAnsi="Times New Roman"/>
          <w:sz w:val="24"/>
        </w:rPr>
        <w:t xml:space="preserve"> is the semantic structure of verbs with social meaning</w:t>
      </w:r>
      <w:r>
        <w:rPr>
          <w:rFonts w:ascii="Times New Roman" w:hAnsi="Times New Roman"/>
          <w:sz w:val="24"/>
        </w:rPr>
        <w:t xml:space="preserve">s and with the </w:t>
      </w:r>
      <w:r>
        <w:rPr>
          <w:rFonts w:ascii="Times New Roman" w:hAnsi="Times New Roman"/>
          <w:sz w:val="24"/>
        </w:rPr>
        <w:t>semantic component "Education"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The social process </w:t>
      </w:r>
      <w:r>
        <w:rPr>
          <w:rFonts w:ascii="Times New Roman" w:hAnsi="Times New Roman"/>
          <w:sz w:val="24"/>
        </w:rPr>
        <w:t xml:space="preserve">from semantic point of view </w:t>
      </w:r>
      <w:r>
        <w:rPr>
          <w:rFonts w:ascii="Times New Roman" w:hAnsi="Times New Roman"/>
          <w:sz w:val="24"/>
        </w:rPr>
        <w:t>is a more complicated type than other processes, since its semantic structure includes obligatory participants of this process, which are called actants in th</w:t>
      </w:r>
      <w:r>
        <w:rPr>
          <w:rFonts w:ascii="Times New Roman" w:hAnsi="Times New Roman"/>
          <w:sz w:val="24"/>
        </w:rPr>
        <w:t>e terminology of the verb-centric theory</w:t>
      </w:r>
      <w:r>
        <w:rPr>
          <w:rFonts w:ascii="Times New Roman" w:hAnsi="Times New Roman"/>
          <w:sz w:val="24"/>
        </w:rPr>
        <w:t>. Four main components of the social situation are defined: three of them are actant</w:t>
      </w:r>
      <w:r>
        <w:rPr>
          <w:rFonts w:ascii="Times New Roman" w:hAnsi="Times New Roman"/>
          <w:sz w:val="24"/>
        </w:rPr>
        <w:t xml:space="preserve"> ones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subject of the process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object of the process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adject</w:t>
      </w:r>
      <w:r>
        <w:rPr>
          <w:rFonts w:ascii="Times New Roman" w:hAnsi="Times New Roman"/>
          <w:sz w:val="24"/>
        </w:rPr>
        <w:t xml:space="preserve"> of the process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) and </w:t>
      </w:r>
      <w:r>
        <w:rPr>
          <w:rFonts w:ascii="Times New Roman" w:hAnsi="Times New Roman"/>
          <w:sz w:val="24"/>
        </w:rPr>
        <w:t>one component</w:t>
      </w:r>
      <w:r>
        <w:rPr>
          <w:rFonts w:ascii="Times New Roman" w:hAnsi="Times New Roman"/>
          <w:sz w:val="24"/>
        </w:rPr>
        <w:t xml:space="preserve"> is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processual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implying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realization of social </w:t>
      </w:r>
      <w:r>
        <w:rPr>
          <w:rFonts w:ascii="Times New Roman" w:hAnsi="Times New Roman"/>
          <w:sz w:val="24"/>
        </w:rPr>
        <w:t xml:space="preserve">impact without </w:t>
      </w:r>
      <w:r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 xml:space="preserve"> explicit reference to one of the actants.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These semantic subclasses represent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categorical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characteristics of verbs with a social meaning. In addition to them,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criterial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semantic </w:t>
      </w:r>
      <w:r>
        <w:rPr>
          <w:rFonts w:ascii="Times New Roman" w:hAnsi="Times New Roman"/>
          <w:sz w:val="24"/>
        </w:rPr>
        <w:t>features are highlighted, which can be divided into two subclasses.</w:t>
      </w:r>
      <w:r>
        <w:rPr>
          <w:rFonts w:ascii="Times New Roman" w:hAnsi="Times New Roman"/>
          <w:sz w:val="24"/>
        </w:rPr>
        <w:t xml:space="preserve"> The first </w:t>
      </w:r>
      <w:r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z w:val="24"/>
        </w:rPr>
        <w:t xml:space="preserve"> is a group of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situational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semantic </w:t>
      </w:r>
      <w:r>
        <w:rPr>
          <w:rFonts w:ascii="Times New Roman" w:hAnsi="Times New Roman"/>
          <w:sz w:val="24"/>
        </w:rPr>
        <w:t xml:space="preserve">characteristics, which includes features that identify the correlation between simple situations within the complex one: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temporal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>ological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motivational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plans. Under the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semantic plan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a generalized semantic category, which is implemented through the opposition of at least two specific semantic features</w:t>
      </w:r>
      <w:r>
        <w:rPr>
          <w:rFonts w:ascii="Times New Roman" w:hAnsi="Times New Roman"/>
          <w:sz w:val="24"/>
        </w:rPr>
        <w:t xml:space="preserve"> is meant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The features that consider the correlation between actants situation are called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inter</w:t>
      </w:r>
      <w:r>
        <w:rPr>
          <w:rFonts w:ascii="Times New Roman" w:hAnsi="Times New Roman"/>
          <w:sz w:val="24"/>
        </w:rPr>
        <w:t>actant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ones</w:t>
      </w:r>
      <w:r>
        <w:rPr>
          <w:rFonts w:ascii="Times New Roman" w:hAnsi="Times New Roman"/>
          <w:sz w:val="24"/>
        </w:rPr>
        <w:t>, including</w:t>
      </w:r>
      <w:r>
        <w:rPr>
          <w:rFonts w:ascii="Times New Roman" w:hAnsi="Times New Roman"/>
          <w:sz w:val="24"/>
        </w:rPr>
        <w:t xml:space="preserve"> features of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interactive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hierarchical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axiological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semantic </w:t>
      </w:r>
      <w:r>
        <w:rPr>
          <w:rFonts w:ascii="Times New Roman" w:hAnsi="Times New Roman"/>
          <w:sz w:val="24"/>
        </w:rPr>
        <w:t>plans.</w:t>
      </w:r>
    </w:p>
    <w:p w14:paraId="07000000">
      <w:pPr>
        <w:spacing w:after="0" w:before="0" w:line="360" w:lineRule="auto"/>
        <w:ind w:firstLine="709"/>
        <w:jc w:val="left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i w:val="1"/>
          <w:caps w:val="0"/>
          <w:sz w:val="24"/>
        </w:rPr>
        <w:t xml:space="preserve">Keywords: </w:t>
      </w:r>
      <w:r>
        <w:rPr>
          <w:rFonts w:ascii="Times New Roman" w:hAnsi="Times New Roman"/>
          <w:i w:val="1"/>
          <w:caps w:val="0"/>
          <w:sz w:val="24"/>
        </w:rPr>
        <w:t xml:space="preserve">a verb, a </w:t>
      </w:r>
      <w:r>
        <w:rPr>
          <w:rFonts w:ascii="Times New Roman" w:hAnsi="Times New Roman"/>
          <w:i w:val="1"/>
          <w:sz w:val="24"/>
        </w:rPr>
        <w:t>semantic structure, education,an actant, an object, a subject, an adject, semantic characteristics.</w:t>
      </w:r>
    </w:p>
    <w:p w14:paraId="08000000">
      <w:pPr>
        <w:spacing w:after="0" w:before="0" w:line="360" w:lineRule="auto"/>
        <w:ind w:firstLine="709"/>
        <w:jc w:val="left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</w:rPr>
        <w:t>Аннотация: В нашей работе целью исследования является семантическая структура социальных глаголов с семантическим компонентом  «Образование». Социальный процесс с семантической точки зрения является более сложным типом, чем другие процессы, так как его смысловая структура включает в себя обязательных участников этого процесса, которые в терминологии вербоцентрической теории называются актантами. Определены четыре основных компонента социальной ситуации: три из них актантные («субъект процесса», «объект процесса», «прилагательное процесса») и один компонент «процессуальный», предполагающий реализацию социального воздействие без явной ссылки на одного из актантов. Эти семантические подклассы представляют собой «категориальные» характеристики глаголов с социальным значением. Помимо них выделены «критериальные» семантические признаки, которые можно разделить на два подкласса. Первая представляет собой группу «ситуативных» семантических характеристик, в которую входят признаки, выявляющие соотношение простых ситуаций внутри сложной: «темпоральный», «телеологический» и «мотивационный» планы. Под «смысловым планом» понимается обобщенная семантическая категория, которая реализуется через противопоставление как минимум двух конкретных семантических признаков. Признаки, учитывающие соотношение между актантными ситуациями, называются «интерактантными», включающими в себя признаки «интерактивного», «иерархического» и «аксиологического» семантических планов.</w:t>
      </w:r>
    </w:p>
    <w:p w14:paraId="09000000">
      <w:pPr>
        <w:spacing w:after="0" w:before="0" w:line="360" w:lineRule="auto"/>
        <w:ind w:firstLine="709"/>
        <w:jc w:val="left"/>
        <w:rPr>
          <w:rFonts w:ascii="Times New Roman" w:hAnsi="Times New Roman"/>
          <w:i w:val="1"/>
          <w:caps w:val="0"/>
          <w:sz w:val="24"/>
        </w:rPr>
      </w:pPr>
      <w:r>
        <w:rPr>
          <w:rFonts w:ascii="Times New Roman" w:hAnsi="Times New Roman"/>
          <w:i w:val="1"/>
        </w:rPr>
        <w:t>Ключевые слова: глагол, семантическая структура, образование, актант, объект, субъект, адъект, семантическая характеристика.</w:t>
      </w:r>
    </w:p>
    <w:p w14:paraId="0A000000">
      <w:pPr>
        <w:spacing w:after="0" w:before="0" w:line="360" w:lineRule="auto"/>
        <w:ind w:firstLine="709"/>
        <w:jc w:val="left"/>
        <w:rPr>
          <w:rFonts w:ascii="Times New Roman" w:hAnsi="Times New Roman"/>
          <w:caps w:val="0"/>
          <w:sz w:val="24"/>
        </w:rPr>
      </w:pPr>
    </w:p>
    <w:p w14:paraId="0B000000">
      <w:pPr>
        <w:spacing w:after="0" w:before="0"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нашей работе целью исследования являлся </w:t>
      </w: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 xml:space="preserve"> структур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социальных глаголов</w:t>
      </w:r>
      <w:r>
        <w:rPr>
          <w:rFonts w:ascii="Times New Roman" w:hAnsi="Times New Roman"/>
          <w:color w:val="000000"/>
          <w:sz w:val="28"/>
        </w:rPr>
        <w:t xml:space="preserve"> с семантическим компонентом "Образование". Была сделана выборка глаголов в количестве 65 единиц. Это обусловлено тем, что данная сфера достаточно узконаправленная и поэтому немногочисленная. </w:t>
      </w:r>
      <w:r>
        <w:rPr>
          <w:rFonts w:ascii="Times New Roman" w:hAnsi="Times New Roman"/>
          <w:color w:val="000000"/>
          <w:sz w:val="28"/>
        </w:rPr>
        <w:t xml:space="preserve"> Социальный процесс </w:t>
      </w:r>
      <w:r>
        <w:rPr>
          <w:rFonts w:ascii="Times New Roman" w:hAnsi="Times New Roman"/>
          <w:color w:val="000000"/>
          <w:sz w:val="28"/>
        </w:rPr>
        <w:t xml:space="preserve">в семантическом плане </w:t>
      </w:r>
      <w:r>
        <w:rPr>
          <w:rFonts w:ascii="Times New Roman" w:hAnsi="Times New Roman"/>
          <w:color w:val="000000"/>
          <w:sz w:val="28"/>
        </w:rPr>
        <w:t xml:space="preserve">является более сложным типом по сравнению с другими процессами, так как в его семантической структуре выделяются обязательные участники этого процесса, </w:t>
      </w:r>
      <w:r>
        <w:rPr>
          <w:rFonts w:ascii="Times New Roman" w:hAnsi="Times New Roman"/>
          <w:color w:val="000000"/>
          <w:sz w:val="28"/>
        </w:rPr>
        <w:t>называемые</w:t>
      </w:r>
      <w:r>
        <w:rPr>
          <w:rFonts w:ascii="Times New Roman" w:hAnsi="Times New Roman"/>
          <w:color w:val="000000"/>
          <w:sz w:val="28"/>
        </w:rPr>
        <w:t xml:space="preserve"> в терминологии вербоцентрической теории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актантами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Определяются</w:t>
      </w:r>
      <w:r>
        <w:rPr>
          <w:rFonts w:ascii="Times New Roman" w:hAnsi="Times New Roman"/>
          <w:color w:val="000000"/>
          <w:sz w:val="28"/>
        </w:rPr>
        <w:t xml:space="preserve"> четыре основных компонента социальной ситуации: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три из них являются актантными (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субъект процесса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объект процесса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адъект</w:t>
      </w:r>
      <w:r>
        <w:rPr>
          <w:rFonts w:ascii="Times New Roman" w:hAnsi="Times New Roman"/>
          <w:color w:val="000000"/>
          <w:sz w:val="28"/>
        </w:rPr>
        <w:t xml:space="preserve"> процесса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) и один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процессивный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подразумевающий реализацию социального воздействия без эксплицитного указания на тот или иной актант.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Данные семантические подклассы представляют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категориальные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характеристики глаголов с социальным значением "Образование". Помимо них, выделяются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критериальные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признаки, которые в свою очередь </w:t>
      </w:r>
      <w:r>
        <w:rPr>
          <w:rFonts w:ascii="Times New Roman" w:hAnsi="Times New Roman"/>
          <w:color w:val="000000"/>
          <w:sz w:val="28"/>
        </w:rPr>
        <w:t>подразде</w:t>
      </w:r>
      <w:r>
        <w:rPr>
          <w:rFonts w:ascii="Times New Roman" w:hAnsi="Times New Roman"/>
          <w:color w:val="000000"/>
          <w:sz w:val="28"/>
        </w:rPr>
        <w:t>ляются</w:t>
      </w:r>
      <w:r>
        <w:rPr>
          <w:rFonts w:ascii="Times New Roman" w:hAnsi="Times New Roman"/>
          <w:color w:val="000000"/>
          <w:sz w:val="28"/>
        </w:rPr>
        <w:t xml:space="preserve"> на два подкласса. </w:t>
      </w:r>
      <w:r>
        <w:rPr>
          <w:rFonts w:ascii="Times New Roman" w:hAnsi="Times New Roman"/>
          <w:color w:val="000000"/>
          <w:sz w:val="28"/>
        </w:rPr>
        <w:t xml:space="preserve">Первый подкласс представляет собой группу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ситуа</w:t>
      </w:r>
      <w:r>
        <w:rPr>
          <w:rFonts w:ascii="Times New Roman" w:hAnsi="Times New Roman"/>
          <w:color w:val="000000"/>
          <w:sz w:val="28"/>
        </w:rPr>
        <w:t>тивных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характеристик, к которым</w:t>
      </w:r>
      <w:r>
        <w:rPr>
          <w:rFonts w:ascii="Times New Roman" w:hAnsi="Times New Roman"/>
          <w:color w:val="000000"/>
          <w:sz w:val="28"/>
        </w:rPr>
        <w:t xml:space="preserve"> относятся признаки, выявляющие соотношение про</w:t>
      </w:r>
      <w:r>
        <w:rPr>
          <w:rFonts w:ascii="Times New Roman" w:hAnsi="Times New Roman"/>
          <w:color w:val="000000"/>
          <w:sz w:val="28"/>
        </w:rPr>
        <w:t xml:space="preserve">стых ситуаций в составе сложных: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темпоральный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z w:val="28"/>
        </w:rPr>
        <w:t>ле</w:t>
      </w:r>
      <w:r>
        <w:rPr>
          <w:rFonts w:ascii="Times New Roman" w:hAnsi="Times New Roman"/>
          <w:color w:val="000000"/>
          <w:sz w:val="28"/>
        </w:rPr>
        <w:t>ологический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мотивационный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планы.</w:t>
      </w:r>
      <w:r>
        <w:rPr>
          <w:rFonts w:ascii="Times New Roman" w:hAnsi="Times New Roman"/>
          <w:color w:val="000000"/>
          <w:sz w:val="28"/>
        </w:rPr>
        <w:t xml:space="preserve"> Под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семантическим планом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подразумевается обобщенная семантическая категория, реализуемая</w:t>
      </w:r>
      <w:r>
        <w:rPr>
          <w:rFonts w:ascii="Times New Roman" w:hAnsi="Times New Roman"/>
          <w:color w:val="000000"/>
          <w:sz w:val="28"/>
        </w:rPr>
        <w:t xml:space="preserve"> посредством противопоставления</w:t>
      </w:r>
      <w:r>
        <w:rPr>
          <w:rFonts w:ascii="Times New Roman" w:hAnsi="Times New Roman"/>
          <w:color w:val="000000"/>
          <w:sz w:val="28"/>
        </w:rPr>
        <w:t xml:space="preserve"> как минимум двух конкретных семантических признаков.</w:t>
      </w:r>
      <w:r>
        <w:rPr>
          <w:rFonts w:ascii="Times New Roman" w:hAnsi="Times New Roman"/>
          <w:color w:val="000000"/>
          <w:sz w:val="28"/>
        </w:rPr>
        <w:t xml:space="preserve"> Признаки, рассматриваю</w:t>
      </w:r>
      <w:r>
        <w:rPr>
          <w:rFonts w:ascii="Times New Roman" w:hAnsi="Times New Roman"/>
          <w:color w:val="000000"/>
          <w:sz w:val="28"/>
        </w:rPr>
        <w:t>щие</w:t>
      </w:r>
      <w:r>
        <w:rPr>
          <w:rFonts w:ascii="Times New Roman" w:hAnsi="Times New Roman"/>
          <w:color w:val="000000"/>
          <w:sz w:val="28"/>
        </w:rPr>
        <w:t xml:space="preserve"> отношения между актантами</w:t>
      </w:r>
      <w:r>
        <w:rPr>
          <w:rFonts w:ascii="Times New Roman" w:hAnsi="Times New Roman"/>
          <w:color w:val="000000"/>
          <w:sz w:val="28"/>
        </w:rPr>
        <w:t xml:space="preserve"> называются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</w:t>
      </w:r>
      <w:r>
        <w:rPr>
          <w:rFonts w:ascii="Times New Roman" w:hAnsi="Times New Roman"/>
          <w:color w:val="000000"/>
          <w:sz w:val="28"/>
        </w:rPr>
        <w:t>актантными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Сюда входят признаки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интерактивного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иерархического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аксиологического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планов.</w:t>
      </w:r>
      <w:r>
        <w:rPr>
          <w:rFonts w:ascii="Times New Roman" w:hAnsi="Times New Roman"/>
          <w:color w:val="000000"/>
          <w:sz w:val="28"/>
        </w:rPr>
        <w:t xml:space="preserve"> Далее</w:t>
      </w:r>
      <w:r>
        <w:rPr>
          <w:rFonts w:ascii="Times New Roman" w:hAnsi="Times New Roman"/>
          <w:color w:val="000000"/>
          <w:sz w:val="28"/>
        </w:rPr>
        <w:t xml:space="preserve"> рассматривает</w:t>
      </w:r>
      <w:r>
        <w:rPr>
          <w:rFonts w:ascii="Times New Roman" w:hAnsi="Times New Roman"/>
          <w:color w:val="000000"/>
          <w:sz w:val="28"/>
        </w:rPr>
        <w:t>ся частотная</w:t>
      </w:r>
      <w:r>
        <w:rPr>
          <w:rFonts w:ascii="Times New Roman" w:hAnsi="Times New Roman"/>
          <w:color w:val="000000"/>
          <w:sz w:val="28"/>
        </w:rPr>
        <w:t xml:space="preserve"> представленность вышеназванных семантических категориальных и критериальных признаков глаголов с  компонентом "Образование" в английском языке.</w:t>
      </w:r>
      <w:r>
        <w:rPr>
          <w:rFonts w:ascii="Times New Roman" w:hAnsi="Times New Roman"/>
          <w:sz w:val="28"/>
        </w:rPr>
        <w:t xml:space="preserve"> Настоящая работа посвящена исследованию семантических глаголов </w:t>
      </w:r>
      <w:r>
        <w:rPr>
          <w:rFonts w:ascii="Times New Roman" w:hAnsi="Times New Roman"/>
          <w:sz w:val="28"/>
        </w:rPr>
        <w:t>подклассов</w:t>
      </w:r>
      <w:r>
        <w:rPr>
          <w:rFonts w:ascii="Times New Roman" w:hAnsi="Times New Roman"/>
          <w:sz w:val="28"/>
        </w:rPr>
        <w:t xml:space="preserve"> с социальным значением</w:t>
      </w:r>
      <w:r>
        <w:rPr>
          <w:rFonts w:ascii="Times New Roman" w:hAnsi="Times New Roman"/>
          <w:color w:val="000000"/>
          <w:sz w:val="28"/>
        </w:rPr>
        <w:t xml:space="preserve"> "Образование". </w:t>
      </w:r>
      <w:r>
        <w:rPr>
          <w:rFonts w:ascii="Times New Roman" w:hAnsi="Times New Roman"/>
          <w:sz w:val="28"/>
        </w:rPr>
        <w:t xml:space="preserve"> Частотный</w:t>
      </w:r>
      <w:r>
        <w:rPr>
          <w:rFonts w:ascii="Times New Roman" w:hAnsi="Times New Roman"/>
          <w:sz w:val="28"/>
        </w:rPr>
        <w:t xml:space="preserve"> анализ позволил </w:t>
      </w:r>
      <w:r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релев</w:t>
      </w:r>
      <w:r>
        <w:rPr>
          <w:rFonts w:ascii="Times New Roman" w:hAnsi="Times New Roman"/>
          <w:sz w:val="28"/>
        </w:rPr>
        <w:t>антные</w:t>
      </w:r>
      <w:r>
        <w:rPr>
          <w:rFonts w:ascii="Times New Roman" w:hAnsi="Times New Roman"/>
          <w:sz w:val="28"/>
        </w:rPr>
        <w:t xml:space="preserve"> и нерелев</w:t>
      </w:r>
      <w:r>
        <w:rPr>
          <w:rFonts w:ascii="Times New Roman" w:hAnsi="Times New Roman"/>
          <w:sz w:val="28"/>
        </w:rPr>
        <w:t>антные признаки</w:t>
      </w:r>
      <w:r>
        <w:rPr>
          <w:rFonts w:ascii="Times New Roman" w:hAnsi="Times New Roman"/>
          <w:sz w:val="28"/>
        </w:rPr>
        <w:t>, образующие компоненты семантической структуры исследуемой части речи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before="0"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Настоящая работа посвящена исследованию семантических </w:t>
      </w:r>
      <w:r>
        <w:rPr>
          <w:rFonts w:ascii="Times New Roman" w:hAnsi="Times New Roman"/>
          <w:sz w:val="28"/>
        </w:rPr>
        <w:t xml:space="preserve">подклассов социальных глаголов </w:t>
      </w:r>
      <w:r>
        <w:rPr>
          <w:rFonts w:ascii="Times New Roman" w:hAnsi="Times New Roman"/>
          <w:sz w:val="28"/>
        </w:rPr>
        <w:t>с значением</w:t>
      </w:r>
      <w:r>
        <w:rPr>
          <w:rFonts w:ascii="Times New Roman" w:hAnsi="Times New Roman"/>
          <w:color w:val="000000"/>
          <w:sz w:val="28"/>
        </w:rPr>
        <w:t xml:space="preserve"> "Образование". </w:t>
      </w:r>
      <w:r>
        <w:rPr>
          <w:rFonts w:ascii="Times New Roman" w:hAnsi="Times New Roman"/>
          <w:sz w:val="28"/>
        </w:rPr>
        <w:t>В д</w:t>
      </w:r>
      <w:r>
        <w:rPr>
          <w:rFonts w:ascii="Times New Roman" w:hAnsi="Times New Roman"/>
          <w:sz w:val="28"/>
        </w:rPr>
        <w:t>анном объекте мы устанавливаем две</w:t>
      </w:r>
      <w:r>
        <w:rPr>
          <w:rFonts w:ascii="Times New Roman" w:hAnsi="Times New Roman"/>
          <w:sz w:val="28"/>
        </w:rPr>
        <w:t xml:space="preserve"> основ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характеристики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 понятие социальной глагольной лексики</w:t>
      </w:r>
      <w:r>
        <w:rPr>
          <w:rFonts w:ascii="Times New Roman" w:hAnsi="Times New Roman"/>
          <w:sz w:val="28"/>
        </w:rPr>
        <w:t xml:space="preserve"> и пон</w:t>
      </w:r>
      <w:r>
        <w:rPr>
          <w:rFonts w:ascii="Times New Roman" w:hAnsi="Times New Roman"/>
          <w:sz w:val="28"/>
        </w:rPr>
        <w:t>ятие семантического компонента "Образование"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Раскроем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содержание вышеуказанных понятий. </w:t>
      </w:r>
    </w:p>
    <w:p w14:paraId="0D000000">
      <w:pPr>
        <w:tabs>
          <w:tab w:leader="none" w:pos="1407" w:val="left"/>
        </w:tabs>
        <w:spacing w:after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ЛИТЕРАТУРЫ</w:t>
      </w:r>
    </w:p>
    <w:p w14:paraId="0E000000">
      <w:pPr>
        <w:tabs>
          <w:tab w:leader="none" w:pos="1407" w:val="left"/>
        </w:tabs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F000000">
      <w:pPr>
        <w:tabs>
          <w:tab w:leader="none" w:pos="1407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Головин Б.Н. Язык и статистика. М.: Просвещение, 2021. 191 с.</w:t>
      </w:r>
    </w:p>
    <w:p w14:paraId="10000000">
      <w:pPr>
        <w:tabs>
          <w:tab w:leader="none" w:pos="1407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Сильницкий А.Г. «Социальные глаголы» и их место в системе английского глагола // Актуальные проблемы романистики и германистики. Смоленск: Изд-во СГПУ, 1998. С. 17–24.</w:t>
      </w:r>
    </w:p>
    <w:p w14:paraId="11000000">
      <w:pPr>
        <w:tabs>
          <w:tab w:leader="none" w:pos="1407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еньер Л. Основа структурного синтаксиса. М.: Прогресс, 1988. 656 с.</w:t>
      </w:r>
    </w:p>
    <w:p w14:paraId="12000000">
      <w:pPr>
        <w:tabs>
          <w:tab w:leader="none" w:pos="1407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Холодович А.А. Залог. Определение. Исчисление // Категория залога. Л.: Наука, 1970. С. 2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26.</w:t>
      </w:r>
    </w:p>
    <w:p w14:paraId="13000000">
      <w:pPr>
        <w:tabs>
          <w:tab w:leader="none" w:pos="1407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Goodenough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Componential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Analysis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Study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Meaning // Language. Vol</w:t>
      </w:r>
      <w:r>
        <w:rPr>
          <w:rFonts w:ascii="Times New Roman" w:hAnsi="Times New Roman"/>
          <w:sz w:val="28"/>
        </w:rPr>
        <w:t>. 32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Linguistic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Society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America</w:t>
      </w:r>
      <w:r>
        <w:rPr>
          <w:rFonts w:ascii="Times New Roman" w:hAnsi="Times New Roman"/>
          <w:sz w:val="28"/>
        </w:rPr>
        <w:t>, 1956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195–216.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2025-03-04T09:43:25Z</dcterms:modified>
</cp:coreProperties>
</file>