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5ACF" w14:textId="53495254" w:rsidR="00A0077B" w:rsidRPr="00A0077B" w:rsidRDefault="00A0077B" w:rsidP="00A0077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077B">
        <w:rPr>
          <w:rFonts w:ascii="Times New Roman" w:hAnsi="Times New Roman" w:cs="Times New Roman"/>
          <w:sz w:val="24"/>
          <w:szCs w:val="24"/>
        </w:rPr>
        <w:t>Вариативность и примеры использования междометной лексики в итальянской комедии «La Famiglia Mostruosa»</w:t>
      </w:r>
    </w:p>
    <w:p w14:paraId="3EE84452" w14:textId="5EC5B65D" w:rsidR="00A0077B" w:rsidRPr="00A0077B" w:rsidRDefault="00A0077B" w:rsidP="00A0077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077B">
        <w:rPr>
          <w:rFonts w:ascii="Times New Roman" w:hAnsi="Times New Roman" w:cs="Times New Roman"/>
          <w:sz w:val="24"/>
          <w:szCs w:val="24"/>
        </w:rPr>
        <w:t>Болдина Елизавета Евгеньевна</w:t>
      </w:r>
    </w:p>
    <w:p w14:paraId="61F1E53A" w14:textId="0ABD12B8" w:rsidR="00A0077B" w:rsidRPr="00A0077B" w:rsidRDefault="00A0077B" w:rsidP="00A0077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077B">
        <w:rPr>
          <w:rFonts w:ascii="Times New Roman" w:hAnsi="Times New Roman" w:cs="Times New Roman"/>
          <w:sz w:val="24"/>
          <w:szCs w:val="24"/>
        </w:rPr>
        <w:t>Аспирант Московского Государственного Университета им. М.В. Ломоносова</w:t>
      </w:r>
    </w:p>
    <w:p w14:paraId="1283C1F0" w14:textId="24D5E285" w:rsidR="00A0077B" w:rsidRPr="00A0077B" w:rsidRDefault="00A0077B" w:rsidP="00A0077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077B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269BA353" w14:textId="3A61C5AE" w:rsidR="00A0077B" w:rsidRDefault="00A0077B" w:rsidP="00A0077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E9834B" w14:textId="28470F90" w:rsidR="00A0077B" w:rsidRDefault="00A0077B" w:rsidP="00437E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Междометная лексика в кино представляет особый интерес </w:t>
      </w:r>
      <w:r w:rsidR="00437EA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исследователей, поскольку данный тип визуального искусства позволяет проследить в динамике </w:t>
      </w:r>
      <w:r w:rsidR="00437EA6">
        <w:rPr>
          <w:rFonts w:ascii="Times New Roman" w:hAnsi="Times New Roman" w:cs="Times New Roman"/>
          <w:sz w:val="24"/>
          <w:szCs w:val="24"/>
        </w:rPr>
        <w:t>использование междомети</w:t>
      </w:r>
      <w:r w:rsidR="00792A59">
        <w:rPr>
          <w:rFonts w:ascii="Times New Roman" w:hAnsi="Times New Roman" w:cs="Times New Roman"/>
          <w:sz w:val="24"/>
          <w:szCs w:val="24"/>
        </w:rPr>
        <w:t>й</w:t>
      </w:r>
      <w:r w:rsidR="00437EA6">
        <w:rPr>
          <w:rFonts w:ascii="Times New Roman" w:hAnsi="Times New Roman" w:cs="Times New Roman"/>
          <w:sz w:val="24"/>
          <w:szCs w:val="24"/>
        </w:rPr>
        <w:t xml:space="preserve"> в </w:t>
      </w:r>
      <w:r w:rsidR="00792A59">
        <w:rPr>
          <w:rFonts w:ascii="Times New Roman" w:hAnsi="Times New Roman" w:cs="Times New Roman"/>
          <w:sz w:val="24"/>
          <w:szCs w:val="24"/>
        </w:rPr>
        <w:t xml:space="preserve">ряде </w:t>
      </w:r>
      <w:r w:rsidR="00437EA6">
        <w:rPr>
          <w:rFonts w:ascii="Times New Roman" w:hAnsi="Times New Roman" w:cs="Times New Roman"/>
          <w:sz w:val="24"/>
          <w:szCs w:val="24"/>
        </w:rPr>
        <w:t>коммуникативных ситуаци</w:t>
      </w:r>
      <w:r w:rsidR="00792A59">
        <w:rPr>
          <w:rFonts w:ascii="Times New Roman" w:hAnsi="Times New Roman" w:cs="Times New Roman"/>
          <w:sz w:val="24"/>
          <w:szCs w:val="24"/>
        </w:rPr>
        <w:t>й</w:t>
      </w:r>
      <w:r w:rsidR="00437EA6">
        <w:rPr>
          <w:rFonts w:ascii="Times New Roman" w:hAnsi="Times New Roman" w:cs="Times New Roman"/>
          <w:sz w:val="24"/>
          <w:szCs w:val="24"/>
        </w:rPr>
        <w:t xml:space="preserve">, </w:t>
      </w:r>
      <w:r w:rsidR="00792A59">
        <w:rPr>
          <w:rFonts w:ascii="Times New Roman" w:hAnsi="Times New Roman" w:cs="Times New Roman"/>
          <w:sz w:val="24"/>
          <w:szCs w:val="24"/>
        </w:rPr>
        <w:t>с</w:t>
      </w:r>
      <w:r w:rsidR="00437EA6">
        <w:rPr>
          <w:rFonts w:ascii="Times New Roman" w:hAnsi="Times New Roman" w:cs="Times New Roman"/>
          <w:sz w:val="24"/>
          <w:szCs w:val="24"/>
        </w:rPr>
        <w:t>моделир</w:t>
      </w:r>
      <w:r w:rsidR="00792A59">
        <w:rPr>
          <w:rFonts w:ascii="Times New Roman" w:hAnsi="Times New Roman" w:cs="Times New Roman"/>
          <w:sz w:val="24"/>
          <w:szCs w:val="24"/>
        </w:rPr>
        <w:t xml:space="preserve">ованных таким образом, чтобы правдоподобно отражать </w:t>
      </w:r>
      <w:r w:rsidR="00437EA6">
        <w:rPr>
          <w:rFonts w:ascii="Times New Roman" w:hAnsi="Times New Roman" w:cs="Times New Roman"/>
          <w:sz w:val="24"/>
          <w:szCs w:val="24"/>
        </w:rPr>
        <w:t>актуальную реальность или реалии определенного временного периода.</w:t>
      </w:r>
    </w:p>
    <w:p w14:paraId="3E3AAAB0" w14:textId="31C23266" w:rsidR="00A0077B" w:rsidRDefault="00437EA6" w:rsidP="00437E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междометия – это не отдельно взятые слова, но сложно устроенные комплексы-реакции на контекст, сопровождающиеся такими невербальными компонентами, как, к примеру, интонация, жестикуляция, специфическое выражение лица. Эти элементы чрезвычайно важны. </w:t>
      </w:r>
      <w:r w:rsidR="009449B5">
        <w:rPr>
          <w:rFonts w:ascii="Times New Roman" w:hAnsi="Times New Roman" w:cs="Times New Roman"/>
          <w:sz w:val="24"/>
          <w:szCs w:val="24"/>
        </w:rPr>
        <w:t xml:space="preserve">Известный итальянский лингвист </w:t>
      </w:r>
      <w:r>
        <w:rPr>
          <w:rFonts w:ascii="Times New Roman" w:hAnsi="Times New Roman" w:cs="Times New Roman"/>
          <w:sz w:val="24"/>
          <w:szCs w:val="24"/>
        </w:rPr>
        <w:t>Лука</w:t>
      </w:r>
      <w:r w:rsidRPr="00437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Серианни</w:t>
      </w:r>
      <w:r w:rsidRPr="00437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пишет</w:t>
      </w:r>
      <w:r w:rsidRPr="00437E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437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зависимости от той же интонации междометие «может радикально изменить значение» </w:t>
      </w:r>
      <w:r w:rsidRPr="00437EA6">
        <w:rPr>
          <w:rFonts w:ascii="Times New Roman" w:hAnsi="Times New Roman" w:cs="Times New Roman"/>
          <w:sz w:val="24"/>
          <w:szCs w:val="24"/>
        </w:rPr>
        <w:t>[</w:t>
      </w:r>
      <w:r w:rsidRPr="00437EA6">
        <w:rPr>
          <w:rFonts w:ascii="Times New Roman" w:hAnsi="Times New Roman" w:cs="Times New Roman"/>
          <w:sz w:val="24"/>
          <w:szCs w:val="24"/>
          <w:lang w:val="it-IT"/>
        </w:rPr>
        <w:t>Serianni</w:t>
      </w:r>
      <w:r w:rsidRPr="00437EA6">
        <w:rPr>
          <w:rFonts w:ascii="Times New Roman" w:hAnsi="Times New Roman" w:cs="Times New Roman"/>
          <w:sz w:val="24"/>
          <w:szCs w:val="24"/>
        </w:rPr>
        <w:t xml:space="preserve"> 1988: 311</w:t>
      </w:r>
      <w:r>
        <w:rPr>
          <w:rFonts w:ascii="Times New Roman" w:hAnsi="Times New Roman" w:cs="Times New Roman"/>
          <w:sz w:val="24"/>
          <w:szCs w:val="24"/>
        </w:rPr>
        <w:t xml:space="preserve"> – перевод мой</w:t>
      </w:r>
      <w:r w:rsidRPr="00437EA6">
        <w:rPr>
          <w:rFonts w:ascii="Times New Roman" w:hAnsi="Times New Roman" w:cs="Times New Roman"/>
          <w:sz w:val="24"/>
          <w:szCs w:val="24"/>
        </w:rPr>
        <w:t>].</w:t>
      </w:r>
    </w:p>
    <w:p w14:paraId="4E579D1C" w14:textId="05DEDD8B" w:rsidR="00A0077B" w:rsidRPr="00437EA6" w:rsidRDefault="00437EA6" w:rsidP="00437E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 может предоставить возможность пронаблюдать весь комплекс в исполнении актера, который выражает эмоции персонажа в соответствии не только с авторской и режиссерской задачей, но и с собственным пониманием, основанным на наблюдении за реакциями людей в реальных коммуникативных ситуациях.</w:t>
      </w:r>
    </w:p>
    <w:p w14:paraId="784D0FF8" w14:textId="2AC30A54" w:rsidR="00614B10" w:rsidRDefault="00437EA6" w:rsidP="00614B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наблюдения и описания междометной лексики в кино нами была выбрана современная итальянская к</w:t>
      </w:r>
      <w:r w:rsidR="00A0077B" w:rsidRPr="00A0077B">
        <w:rPr>
          <w:rFonts w:ascii="Times New Roman" w:hAnsi="Times New Roman" w:cs="Times New Roman"/>
          <w:sz w:val="24"/>
          <w:szCs w:val="24"/>
        </w:rPr>
        <w:t xml:space="preserve">омедия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437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famiglia</w:t>
      </w:r>
      <w:r w:rsidRPr="00437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mostruosa</w:t>
      </w:r>
      <w:r>
        <w:rPr>
          <w:rFonts w:ascii="Times New Roman" w:hAnsi="Times New Roman" w:cs="Times New Roman"/>
          <w:sz w:val="24"/>
          <w:szCs w:val="24"/>
        </w:rPr>
        <w:t>» («Жуткая семейка»</w:t>
      </w:r>
      <w:r w:rsidR="00C87A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2021)</w:t>
      </w:r>
      <w:r w:rsidR="00614B10">
        <w:rPr>
          <w:rFonts w:ascii="Times New Roman" w:hAnsi="Times New Roman" w:cs="Times New Roman"/>
          <w:sz w:val="24"/>
          <w:szCs w:val="24"/>
        </w:rPr>
        <w:t>, ведь комедия - это</w:t>
      </w:r>
      <w:r w:rsidR="00A0077B" w:rsidRPr="00A0077B">
        <w:rPr>
          <w:rFonts w:ascii="Times New Roman" w:hAnsi="Times New Roman" w:cs="Times New Roman"/>
          <w:sz w:val="24"/>
          <w:szCs w:val="24"/>
        </w:rPr>
        <w:t xml:space="preserve"> относительно свободный юмористический жанр с высоким уровнем ярко выраженной эмоциональности</w:t>
      </w:r>
      <w:r w:rsidR="00A0077B">
        <w:rPr>
          <w:rFonts w:ascii="Times New Roman" w:hAnsi="Times New Roman" w:cs="Times New Roman"/>
          <w:sz w:val="24"/>
          <w:szCs w:val="24"/>
        </w:rPr>
        <w:t xml:space="preserve">, что </w:t>
      </w:r>
      <w:r w:rsidR="00614B10">
        <w:rPr>
          <w:rFonts w:ascii="Times New Roman" w:hAnsi="Times New Roman" w:cs="Times New Roman"/>
          <w:sz w:val="24"/>
          <w:szCs w:val="24"/>
        </w:rPr>
        <w:t>как нельзя лучше способствует решению задач нашего исследования.</w:t>
      </w:r>
    </w:p>
    <w:p w14:paraId="422C905C" w14:textId="7DC160BA" w:rsidR="00614B10" w:rsidRDefault="00614B10" w:rsidP="00614B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Сильной стороной данного фильма можно назвать то, что</w:t>
      </w:r>
      <w:r w:rsidR="003E0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помимо </w:t>
      </w:r>
      <w:r w:rsidR="00A0077B" w:rsidRPr="00A0077B">
        <w:rPr>
          <w:rFonts w:ascii="Times New Roman" w:hAnsi="Times New Roman" w:cs="Times New Roman"/>
          <w:sz w:val="24"/>
          <w:szCs w:val="24"/>
        </w:rPr>
        <w:t>привычны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0077B" w:rsidRPr="00A0077B">
        <w:rPr>
          <w:rFonts w:ascii="Times New Roman" w:hAnsi="Times New Roman" w:cs="Times New Roman"/>
          <w:sz w:val="24"/>
          <w:szCs w:val="24"/>
        </w:rPr>
        <w:t xml:space="preserve"> нам выражени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0077B" w:rsidRPr="00A0077B">
        <w:rPr>
          <w:rFonts w:ascii="Times New Roman" w:hAnsi="Times New Roman" w:cs="Times New Roman"/>
          <w:sz w:val="24"/>
          <w:szCs w:val="24"/>
        </w:rPr>
        <w:t xml:space="preserve"> эмоций, </w:t>
      </w:r>
      <w:r>
        <w:rPr>
          <w:rFonts w:ascii="Times New Roman" w:hAnsi="Times New Roman" w:cs="Times New Roman"/>
          <w:sz w:val="24"/>
          <w:szCs w:val="24"/>
        </w:rPr>
        <w:t>в нем можно встретить примеры употребления</w:t>
      </w:r>
      <w:r w:rsidR="00A0077B" w:rsidRPr="00A0077B">
        <w:rPr>
          <w:rFonts w:ascii="Times New Roman" w:hAnsi="Times New Roman" w:cs="Times New Roman"/>
          <w:sz w:val="24"/>
          <w:szCs w:val="24"/>
        </w:rPr>
        <w:t xml:space="preserve"> междомети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0077B" w:rsidRPr="00A0077B">
        <w:rPr>
          <w:rFonts w:ascii="Times New Roman" w:hAnsi="Times New Roman" w:cs="Times New Roman"/>
          <w:sz w:val="24"/>
          <w:szCs w:val="24"/>
        </w:rPr>
        <w:t xml:space="preserve"> на диалекте романеско.</w:t>
      </w:r>
      <w:r>
        <w:rPr>
          <w:rFonts w:ascii="Times New Roman" w:hAnsi="Times New Roman" w:cs="Times New Roman"/>
          <w:sz w:val="24"/>
          <w:szCs w:val="24"/>
        </w:rPr>
        <w:t xml:space="preserve"> Так как взаимоотношение литературного стандарта и диалекта продолжает быть животрепещущей проблемой </w:t>
      </w:r>
      <w:r w:rsidR="00715BAE">
        <w:rPr>
          <w:rFonts w:ascii="Times New Roman" w:hAnsi="Times New Roman" w:cs="Times New Roman"/>
          <w:sz w:val="24"/>
          <w:szCs w:val="24"/>
        </w:rPr>
        <w:t xml:space="preserve">в области изучения </w:t>
      </w:r>
      <w:r>
        <w:rPr>
          <w:rFonts w:ascii="Times New Roman" w:hAnsi="Times New Roman" w:cs="Times New Roman"/>
          <w:sz w:val="24"/>
          <w:szCs w:val="24"/>
        </w:rPr>
        <w:t>современного итальянского языка, особенно интересно проследить развитие этого вопроса в том числе в контексте использования междометной лексики.</w:t>
      </w:r>
    </w:p>
    <w:p w14:paraId="51334432" w14:textId="16190408" w:rsidR="00BE25C4" w:rsidRDefault="00614B10" w:rsidP="00614B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</w:t>
      </w:r>
      <w:r w:rsidR="00A0077B" w:rsidRPr="00A0077B">
        <w:rPr>
          <w:rFonts w:ascii="Times New Roman" w:hAnsi="Times New Roman" w:cs="Times New Roman"/>
          <w:sz w:val="24"/>
          <w:szCs w:val="24"/>
        </w:rPr>
        <w:t xml:space="preserve"> докладе планируется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="00A0077B" w:rsidRPr="00A0077B">
        <w:rPr>
          <w:rFonts w:ascii="Times New Roman" w:hAnsi="Times New Roman" w:cs="Times New Roman"/>
          <w:sz w:val="24"/>
          <w:szCs w:val="24"/>
        </w:rPr>
        <w:t xml:space="preserve">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77B" w:rsidRPr="00A0077B">
        <w:rPr>
          <w:rFonts w:ascii="Times New Roman" w:hAnsi="Times New Roman" w:cs="Times New Roman"/>
          <w:sz w:val="24"/>
          <w:szCs w:val="24"/>
        </w:rPr>
        <w:t>случаи использования междометий в комедии</w:t>
      </w:r>
      <w:r>
        <w:rPr>
          <w:rFonts w:ascii="Times New Roman" w:hAnsi="Times New Roman" w:cs="Times New Roman"/>
          <w:sz w:val="24"/>
          <w:szCs w:val="24"/>
        </w:rPr>
        <w:t xml:space="preserve"> «Жуткая семейка» в соответствии с классификациями современн</w:t>
      </w:r>
      <w:r w:rsidR="0066149A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итальянск</w:t>
      </w:r>
      <w:r w:rsidR="0066149A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лингвист</w:t>
      </w:r>
      <w:r w:rsidR="0066149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3F340F" w14:textId="4F5FC977" w:rsidR="00614B10" w:rsidRPr="00792A59" w:rsidRDefault="00614B10" w:rsidP="00614B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2D3403B5" w14:textId="185A94FC" w:rsidR="00614B10" w:rsidRPr="00614B10" w:rsidRDefault="00614B10" w:rsidP="00BD51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14B10">
        <w:rPr>
          <w:rFonts w:ascii="Times New Roman" w:hAnsi="Times New Roman" w:cs="Times New Roman"/>
          <w:sz w:val="24"/>
          <w:szCs w:val="24"/>
          <w:lang w:val="it-IT"/>
        </w:rPr>
        <w:t>1. Serianni L. Grammatica italiana. Italiano comune e lingua letteraria. Torino, 1988</w:t>
      </w:r>
    </w:p>
    <w:sectPr w:rsidR="00614B10" w:rsidRPr="00614B10" w:rsidSect="00A007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7B"/>
    <w:rsid w:val="003E0C2E"/>
    <w:rsid w:val="00437EA6"/>
    <w:rsid w:val="00614B10"/>
    <w:rsid w:val="0066149A"/>
    <w:rsid w:val="00715BAE"/>
    <w:rsid w:val="00792A59"/>
    <w:rsid w:val="009449B5"/>
    <w:rsid w:val="00A0077B"/>
    <w:rsid w:val="00BD5165"/>
    <w:rsid w:val="00BE25C4"/>
    <w:rsid w:val="00C87A8A"/>
    <w:rsid w:val="00D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35F9"/>
  <w15:chartTrackingRefBased/>
  <w15:docId w15:val="{B45899CE-0243-4FE2-992C-D8BF1358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Болдина Елизавета</dc:creator>
  <cp:keywords/>
  <dc:description/>
  <cp:lastModifiedBy>Болдина Елизавета</cp:lastModifiedBy>
  <cp:revision>9</cp:revision>
  <dcterms:created xsi:type="dcterms:W3CDTF">2025-03-09T18:55:00Z</dcterms:created>
  <dcterms:modified xsi:type="dcterms:W3CDTF">2025-03-09T19:33:00Z</dcterms:modified>
</cp:coreProperties>
</file>