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5796" w14:textId="77777777" w:rsidR="00AB4548" w:rsidRPr="00AB4548" w:rsidRDefault="00AB4548" w:rsidP="00AB45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AB4548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Концептуализация понятия ‘глотка’ во французском языке</w:t>
      </w:r>
    </w:p>
    <w:p w14:paraId="65A3BFAD" w14:textId="77777777" w:rsidR="00AB4548" w:rsidRPr="00AB4548" w:rsidRDefault="00AB4548" w:rsidP="00AB45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AB454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Селюкова Мария Ивановна </w:t>
      </w:r>
    </w:p>
    <w:p w14:paraId="55FD33CD" w14:textId="0331F4BE" w:rsidR="00AB4548" w:rsidRDefault="00AB4548" w:rsidP="00AB45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AB454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Студент</w:t>
      </w:r>
      <w:r w:rsidR="00566BE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 xml:space="preserve">ка </w:t>
      </w:r>
      <w:r w:rsidRPr="00AB454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Московского государственного университета имени М.</w:t>
      </w:r>
      <w:r w:rsidR="00B75D3F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В</w:t>
      </w:r>
      <w:r w:rsidRPr="00AB454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  <w:t>. Ломоносова, Москва, Россия</w:t>
      </w:r>
    </w:p>
    <w:p w14:paraId="48460EED" w14:textId="77777777" w:rsidR="00566BEC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</w:rPr>
        <w:t>Человек, стремящийся познать мир, с самых ранних этапов своего развития обращает внимание на самое близкое и очевидное – на самого себя. Эта интроспекция, в сочетании с первыми попытками вербализовать наблюдения, порождает так называемую наивную анатомию – интуитивное, донаучное представление о строении человеческого тела, отраженное в языке. В наивной анатомии границы между научными терминами часто размыты. Так, одно слово может охватывать обширную область человеческого тела, которую в строгой анатомической номенклатуре разграничивают несколько понятий.</w:t>
      </w:r>
    </w:p>
    <w:p w14:paraId="7E3E2BE9" w14:textId="77777777" w:rsidR="00566BEC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во французском языке восходит к латинскому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gula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со значением ‘глотка’, ‘пищевой тракт’, ‘сосредоточие вкуса’. Во французском языке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изначально имеет литературное значение ‘морда’, ‘пасть’, ‘зев’ применительно к животному</w:t>
      </w:r>
      <w:r w:rsid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d’un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chien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‘пасть собаки’;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d’un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loup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‘волчья пасть’), а также к человеку. Данная лексическая единица развила большую многозначность. В настоящий момент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активно употребляется в переносных значениях, особенно в разговорных употреблениях.</w:t>
      </w:r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3347C" w14:textId="583D2A94" w:rsidR="00AB4548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В первую очередь, в основе первой концептуализации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лежит метонимический перенос, на основе которого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в наивном языковом сознании воспринимается как отверстие в теле человека, из которого может что-то исходить (звуки, жидкости, речь) и через которое что-то поступает в организм; в средние века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обозначало часть тела человека, необходимую для процесса говорения и процесса еды («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servant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crier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(v. 1174-1177), 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à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manger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ou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engloutir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XIIIe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s.)») [ DHLF I: 1660].</w:t>
      </w:r>
      <w:r w:rsid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Ср</w:t>
      </w:r>
      <w:r w:rsidRPr="00354334">
        <w:rPr>
          <w:rFonts w:ascii="Times New Roman" w:hAnsi="Times New Roman" w:cs="Times New Roman"/>
          <w:sz w:val="24"/>
          <w:szCs w:val="24"/>
        </w:rPr>
        <w:t xml:space="preserve">., </w:t>
      </w:r>
      <w:r w:rsidRPr="00AB4548">
        <w:rPr>
          <w:rFonts w:ascii="Times New Roman" w:hAnsi="Times New Roman" w:cs="Times New Roman"/>
          <w:sz w:val="24"/>
          <w:szCs w:val="24"/>
        </w:rPr>
        <w:t>например</w:t>
      </w:r>
      <w:r w:rsidRPr="00354334">
        <w:rPr>
          <w:rFonts w:ascii="Times New Roman" w:hAnsi="Times New Roman" w:cs="Times New Roman"/>
          <w:sz w:val="24"/>
          <w:szCs w:val="24"/>
        </w:rPr>
        <w:t xml:space="preserve">, </w:t>
      </w:r>
      <w:r w:rsidR="00566BEC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AB4548">
        <w:rPr>
          <w:rFonts w:ascii="Times New Roman" w:hAnsi="Times New Roman" w:cs="Times New Roman"/>
          <w:sz w:val="24"/>
          <w:szCs w:val="24"/>
        </w:rPr>
        <w:t>выражения</w:t>
      </w:r>
      <w:r w:rsidRPr="00354334">
        <w:rPr>
          <w:rFonts w:ascii="Times New Roman" w:hAnsi="Times New Roman" w:cs="Times New Roman"/>
          <w:sz w:val="24"/>
          <w:szCs w:val="24"/>
        </w:rPr>
        <w:t xml:space="preserve">: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en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mettre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plein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– (</w:t>
      </w:r>
      <w:r w:rsidRPr="00AB4548">
        <w:rPr>
          <w:rFonts w:ascii="Times New Roman" w:hAnsi="Times New Roman" w:cs="Times New Roman"/>
          <w:sz w:val="24"/>
          <w:szCs w:val="24"/>
        </w:rPr>
        <w:t>букв</w:t>
      </w:r>
      <w:r w:rsidRPr="00354334">
        <w:rPr>
          <w:rFonts w:ascii="Times New Roman" w:hAnsi="Times New Roman" w:cs="Times New Roman"/>
          <w:sz w:val="24"/>
          <w:szCs w:val="24"/>
        </w:rPr>
        <w:t xml:space="preserve">. </w:t>
      </w:r>
      <w:r w:rsidRPr="00AB4548">
        <w:rPr>
          <w:rFonts w:ascii="Times New Roman" w:hAnsi="Times New Roman" w:cs="Times New Roman"/>
          <w:sz w:val="24"/>
          <w:szCs w:val="24"/>
        </w:rPr>
        <w:t>наполнить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до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отказа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горло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‘</w:t>
      </w:r>
      <w:r w:rsidRPr="00AB4548">
        <w:rPr>
          <w:rFonts w:ascii="Times New Roman" w:hAnsi="Times New Roman" w:cs="Times New Roman"/>
          <w:sz w:val="24"/>
          <w:szCs w:val="24"/>
        </w:rPr>
        <w:t>наесться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до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отвала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avoir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bois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(</w:t>
      </w:r>
      <w:r w:rsidRPr="00AB4548">
        <w:rPr>
          <w:rFonts w:ascii="Times New Roman" w:hAnsi="Times New Roman" w:cs="Times New Roman"/>
          <w:sz w:val="24"/>
          <w:szCs w:val="24"/>
        </w:rPr>
        <w:t>букв</w:t>
      </w:r>
      <w:r w:rsidRPr="00354334">
        <w:rPr>
          <w:rFonts w:ascii="Times New Roman" w:hAnsi="Times New Roman" w:cs="Times New Roman"/>
          <w:sz w:val="24"/>
          <w:szCs w:val="24"/>
        </w:rPr>
        <w:t xml:space="preserve">. </w:t>
      </w:r>
      <w:r w:rsidRPr="00AB4548">
        <w:rPr>
          <w:rFonts w:ascii="Times New Roman" w:hAnsi="Times New Roman" w:cs="Times New Roman"/>
          <w:sz w:val="24"/>
          <w:szCs w:val="24"/>
        </w:rPr>
        <w:t>иметь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деревяное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горло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‘</w:t>
      </w:r>
      <w:r w:rsidRPr="00AB4548">
        <w:rPr>
          <w:rFonts w:ascii="Times New Roman" w:hAnsi="Times New Roman" w:cs="Times New Roman"/>
          <w:sz w:val="24"/>
          <w:szCs w:val="24"/>
        </w:rPr>
        <w:t>находиться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в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состоянии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похмелья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’);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se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bourrer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– (</w:t>
      </w:r>
      <w:r w:rsidRPr="00AB4548">
        <w:rPr>
          <w:rFonts w:ascii="Times New Roman" w:hAnsi="Times New Roman" w:cs="Times New Roman"/>
          <w:sz w:val="24"/>
          <w:szCs w:val="24"/>
        </w:rPr>
        <w:t>букв</w:t>
      </w:r>
      <w:r w:rsidRPr="00354334">
        <w:rPr>
          <w:rFonts w:ascii="Times New Roman" w:hAnsi="Times New Roman" w:cs="Times New Roman"/>
          <w:sz w:val="24"/>
          <w:szCs w:val="24"/>
        </w:rPr>
        <w:t xml:space="preserve">. </w:t>
      </w:r>
      <w:r w:rsidRPr="00AB4548">
        <w:rPr>
          <w:rFonts w:ascii="Times New Roman" w:hAnsi="Times New Roman" w:cs="Times New Roman"/>
          <w:sz w:val="24"/>
          <w:szCs w:val="24"/>
        </w:rPr>
        <w:t>заполнить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горло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– ‘</w:t>
      </w:r>
      <w:r w:rsidRPr="00AB4548">
        <w:rPr>
          <w:rFonts w:ascii="Times New Roman" w:hAnsi="Times New Roman" w:cs="Times New Roman"/>
          <w:sz w:val="24"/>
          <w:szCs w:val="24"/>
        </w:rPr>
        <w:t>напиться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допьяна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ferme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[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fait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des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courants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air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evitera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les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courants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air</w:t>
      </w:r>
      <w:r w:rsidRPr="00354334">
        <w:rPr>
          <w:rFonts w:ascii="Times New Roman" w:hAnsi="Times New Roman" w:cs="Times New Roman"/>
          <w:sz w:val="24"/>
          <w:szCs w:val="24"/>
        </w:rPr>
        <w:t>] – (</w:t>
      </w:r>
      <w:r w:rsidRPr="00AB4548">
        <w:rPr>
          <w:rFonts w:ascii="Times New Roman" w:hAnsi="Times New Roman" w:cs="Times New Roman"/>
          <w:sz w:val="24"/>
          <w:szCs w:val="24"/>
        </w:rPr>
        <w:t>букв</w:t>
      </w:r>
      <w:r w:rsidRPr="00354334">
        <w:rPr>
          <w:rFonts w:ascii="Times New Roman" w:hAnsi="Times New Roman" w:cs="Times New Roman"/>
          <w:sz w:val="24"/>
          <w:szCs w:val="24"/>
        </w:rPr>
        <w:t xml:space="preserve">. </w:t>
      </w:r>
      <w:r w:rsidRPr="00AB4548">
        <w:rPr>
          <w:rFonts w:ascii="Times New Roman" w:hAnsi="Times New Roman" w:cs="Times New Roman"/>
          <w:sz w:val="24"/>
          <w:szCs w:val="24"/>
        </w:rPr>
        <w:t>закрой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свое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горло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[</w:t>
      </w:r>
      <w:r w:rsidRPr="00AB4548">
        <w:rPr>
          <w:rFonts w:ascii="Times New Roman" w:hAnsi="Times New Roman" w:cs="Times New Roman"/>
          <w:sz w:val="24"/>
          <w:szCs w:val="24"/>
        </w:rPr>
        <w:t>из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него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дует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сквозняк</w:t>
      </w:r>
      <w:r w:rsidRPr="00354334">
        <w:rPr>
          <w:rFonts w:ascii="Times New Roman" w:hAnsi="Times New Roman" w:cs="Times New Roman"/>
          <w:sz w:val="24"/>
          <w:szCs w:val="24"/>
        </w:rPr>
        <w:t xml:space="preserve">/ </w:t>
      </w:r>
      <w:r w:rsidRPr="00AB4548">
        <w:rPr>
          <w:rFonts w:ascii="Times New Roman" w:hAnsi="Times New Roman" w:cs="Times New Roman"/>
          <w:sz w:val="24"/>
          <w:szCs w:val="24"/>
        </w:rPr>
        <w:t>она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вызывает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сквозняк</w:t>
      </w:r>
      <w:r w:rsidRPr="00354334">
        <w:rPr>
          <w:rFonts w:ascii="Times New Roman" w:hAnsi="Times New Roman" w:cs="Times New Roman"/>
          <w:sz w:val="24"/>
          <w:szCs w:val="24"/>
        </w:rPr>
        <w:t>] – ‘</w:t>
      </w:r>
      <w:r w:rsidRPr="00AB4548">
        <w:rPr>
          <w:rFonts w:ascii="Times New Roman" w:hAnsi="Times New Roman" w:cs="Times New Roman"/>
          <w:sz w:val="24"/>
          <w:szCs w:val="24"/>
        </w:rPr>
        <w:t>заткнись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’);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se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klaxonner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(‘</w:t>
      </w:r>
      <w:r w:rsidRPr="00AB4548">
        <w:rPr>
          <w:rFonts w:ascii="Times New Roman" w:hAnsi="Times New Roman" w:cs="Times New Roman"/>
          <w:sz w:val="24"/>
          <w:szCs w:val="24"/>
        </w:rPr>
        <w:t>напиваться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aller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– (</w:t>
      </w:r>
      <w:r w:rsidRPr="00AB4548">
        <w:rPr>
          <w:rFonts w:ascii="Times New Roman" w:hAnsi="Times New Roman" w:cs="Times New Roman"/>
          <w:sz w:val="24"/>
          <w:szCs w:val="24"/>
        </w:rPr>
        <w:t>букв</w:t>
      </w:r>
      <w:r w:rsidRPr="00354334">
        <w:rPr>
          <w:rFonts w:ascii="Times New Roman" w:hAnsi="Times New Roman" w:cs="Times New Roman"/>
          <w:sz w:val="24"/>
          <w:szCs w:val="24"/>
        </w:rPr>
        <w:t xml:space="preserve">. </w:t>
      </w:r>
      <w:r w:rsidRPr="00AB4548">
        <w:rPr>
          <w:rFonts w:ascii="Times New Roman" w:hAnsi="Times New Roman" w:cs="Times New Roman"/>
          <w:sz w:val="24"/>
          <w:szCs w:val="24"/>
        </w:rPr>
        <w:t>исходить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из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горла</w:t>
      </w:r>
      <w:r w:rsidRPr="00354334">
        <w:rPr>
          <w:rFonts w:ascii="Times New Roman" w:hAnsi="Times New Roman" w:cs="Times New Roman"/>
          <w:sz w:val="24"/>
          <w:szCs w:val="24"/>
        </w:rPr>
        <w:t xml:space="preserve"> – ‘</w:t>
      </w:r>
      <w:r w:rsidRPr="00AB4548">
        <w:rPr>
          <w:rFonts w:ascii="Times New Roman" w:hAnsi="Times New Roman" w:cs="Times New Roman"/>
          <w:sz w:val="24"/>
          <w:szCs w:val="24"/>
        </w:rPr>
        <w:t>говорить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без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остановки</w:t>
      </w:r>
      <w:r w:rsidRPr="00354334">
        <w:rPr>
          <w:rFonts w:ascii="Times New Roman" w:hAnsi="Times New Roman" w:cs="Times New Roman"/>
          <w:sz w:val="24"/>
          <w:szCs w:val="24"/>
        </w:rPr>
        <w:t>’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crever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334">
        <w:rPr>
          <w:rFonts w:ascii="Times New Roman" w:hAnsi="Times New Roman" w:cs="Times New Roman"/>
          <w:i/>
          <w:iCs/>
          <w:sz w:val="24"/>
          <w:szCs w:val="24"/>
          <w:lang w:val="en-US"/>
        </w:rPr>
        <w:t>ouverte</w:t>
      </w:r>
      <w:r w:rsidRPr="00354334">
        <w:rPr>
          <w:rFonts w:ascii="Times New Roman" w:hAnsi="Times New Roman" w:cs="Times New Roman"/>
          <w:sz w:val="24"/>
          <w:szCs w:val="24"/>
        </w:rPr>
        <w:t xml:space="preserve"> (‘</w:t>
      </w:r>
      <w:r w:rsidRPr="00AB4548">
        <w:rPr>
          <w:rFonts w:ascii="Times New Roman" w:hAnsi="Times New Roman" w:cs="Times New Roman"/>
          <w:sz w:val="24"/>
          <w:szCs w:val="24"/>
        </w:rPr>
        <w:t>умереть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от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отсутствия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помощи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’), </w:t>
      </w:r>
      <w:r w:rsidRPr="00AB4548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feindre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gueule</w:t>
      </w:r>
      <w:proofErr w:type="spellEnd"/>
      <w:r w:rsidRPr="00354334">
        <w:rPr>
          <w:rFonts w:ascii="Times New Roman" w:hAnsi="Times New Roman" w:cs="Times New Roman"/>
          <w:sz w:val="24"/>
          <w:szCs w:val="24"/>
        </w:rPr>
        <w:t xml:space="preserve">  (‘</w:t>
      </w:r>
      <w:r w:rsidRPr="00AB4548">
        <w:rPr>
          <w:rFonts w:ascii="Times New Roman" w:hAnsi="Times New Roman" w:cs="Times New Roman"/>
          <w:sz w:val="24"/>
          <w:szCs w:val="24"/>
        </w:rPr>
        <w:t>громко</w:t>
      </w:r>
      <w:r w:rsidRPr="00354334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хохотать</w:t>
      </w:r>
      <w:r w:rsidRPr="00354334">
        <w:rPr>
          <w:rFonts w:ascii="Times New Roman" w:hAnsi="Times New Roman" w:cs="Times New Roman"/>
          <w:sz w:val="24"/>
          <w:szCs w:val="24"/>
        </w:rPr>
        <w:t xml:space="preserve">’). </w:t>
      </w:r>
      <w:r w:rsidRPr="00AB4548">
        <w:rPr>
          <w:rFonts w:ascii="Times New Roman" w:hAnsi="Times New Roman" w:cs="Times New Roman"/>
          <w:sz w:val="24"/>
          <w:szCs w:val="24"/>
        </w:rPr>
        <w:t xml:space="preserve">Такое же значение раскрывается в образованном от слова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глаголе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dégueuler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(‘рыгать’, разг. ‘блевать’, существительном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dégueulis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(разг. ‘блевотина’), прилагательном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dégueulasse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(букв. вызывающий тошноту ‘мерзкий’, ‘отвратительный’).</w:t>
      </w:r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95621" w14:textId="77777777" w:rsidR="00566BEC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, обозначающее отверстие на лице человека, имеет метафорические переосмысления, применяясь к неодушевленным предметам. В этом случае оно обозначает отверстие или горлышко. </w:t>
      </w:r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d'un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pot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– (букв. горло горшка – ‘отверстие в горшке’);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d’un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canon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d’un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fusil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B4548">
        <w:rPr>
          <w:rFonts w:ascii="Times New Roman" w:hAnsi="Times New Roman" w:cs="Times New Roman"/>
          <w:sz w:val="24"/>
          <w:szCs w:val="24"/>
        </w:rPr>
        <w:t xml:space="preserve"> – (букв. горло пушки, ружья ‘жерло пушки’, ‘дуло ружья’)</w:t>
      </w:r>
      <w:r w:rsidRPr="00AB4548">
        <w:rPr>
          <w:rFonts w:ascii="Times New Roman" w:hAnsi="Times New Roman" w:cs="Times New Roman"/>
          <w:sz w:val="24"/>
          <w:szCs w:val="24"/>
        </w:rPr>
        <w:t>.</w:t>
      </w:r>
    </w:p>
    <w:p w14:paraId="0325E02D" w14:textId="3298134E" w:rsidR="00AB4548" w:rsidRPr="00566BEC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 xml:space="preserve">Вслед за осмыслением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как отверстия происходит метонимический перенос, в результате которого это слово становится также названием лица, являясь в таком значении стилистически окрашенным (разг.) синонимом слову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visage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(‘лицо’).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Avoir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bonne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– (‘иметь приятное лицо’, ‘быть симпатичным’);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casser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– (‘избить’, разг. ‘набить морду кому-л’);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avoir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sale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– (‘иметь ужасный вид’, ‘иметь неприятную физиономию’);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d'amour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– (‘красавчик’, ‘вульгарный соблазнитель’). Также в этом значении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может называть особый внешний вид человека: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avoir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(‘иметь особый вид’)</w:t>
      </w:r>
      <w:r w:rsidR="00566BEC">
        <w:rPr>
          <w:rFonts w:ascii="Times New Roman" w:hAnsi="Times New Roman" w:cs="Times New Roman"/>
          <w:sz w:val="24"/>
          <w:szCs w:val="24"/>
        </w:rPr>
        <w:t xml:space="preserve"> </w:t>
      </w:r>
      <w:r w:rsidRPr="00AB4548">
        <w:rPr>
          <w:rFonts w:ascii="Times New Roman" w:hAnsi="Times New Roman" w:cs="Times New Roman"/>
          <w:sz w:val="24"/>
          <w:szCs w:val="24"/>
        </w:rPr>
        <w:t>и</w:t>
      </w:r>
      <w:r w:rsidR="00566BEC">
        <w:rPr>
          <w:rFonts w:ascii="Times New Roman" w:hAnsi="Times New Roman" w:cs="Times New Roman"/>
          <w:sz w:val="24"/>
          <w:szCs w:val="24"/>
        </w:rPr>
        <w:t>ли</w:t>
      </w:r>
      <w:r w:rsidRPr="00AB4548">
        <w:rPr>
          <w:rFonts w:ascii="Times New Roman" w:hAnsi="Times New Roman" w:cs="Times New Roman"/>
          <w:sz w:val="24"/>
          <w:szCs w:val="24"/>
        </w:rPr>
        <w:t xml:space="preserve"> неодушевленного предмета: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chapeau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drôle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(‘эта шляпа странная’).</w:t>
      </w:r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8BFC8" w14:textId="34003212" w:rsidR="00AB4548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Выражение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gueules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noires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(букв. черные лица – ‘чумазые’ (о шахтёрах, угольщиках)) может пониматься по-разному: как часть тела – лицо, и (метонимически) как </w:t>
      </w:r>
      <w:r w:rsidR="00566BEC">
        <w:rPr>
          <w:rFonts w:ascii="Times New Roman" w:hAnsi="Times New Roman" w:cs="Times New Roman"/>
          <w:sz w:val="24"/>
          <w:szCs w:val="24"/>
        </w:rPr>
        <w:t>человек</w:t>
      </w:r>
      <w:r w:rsidRPr="00AB4548">
        <w:rPr>
          <w:rFonts w:ascii="Times New Roman" w:hAnsi="Times New Roman" w:cs="Times New Roman"/>
          <w:sz w:val="24"/>
          <w:szCs w:val="24"/>
        </w:rPr>
        <w:t xml:space="preserve"> в целом. Этот переход представлен во многих контекстах. Так, такое значение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lastRenderedPageBreak/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приобретает в сочетании с притяжательными местоимениями: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ma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ta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 w:rsidRPr="00354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(я / ты / он, она). Например: «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pompier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pense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qu’à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pompier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risque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mourir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» (пожарный, который думает только о себе, рискует погибнуть в огне);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(в обращении) – (‘лапочка’, ‘котя’): «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entendu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m’en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occuper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petite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» (Хорошо, я займусь этим, лапочка). </w:t>
      </w:r>
    </w:p>
    <w:p w14:paraId="0DDED8A2" w14:textId="77777777" w:rsidR="00354334" w:rsidRDefault="00AB4548" w:rsidP="0056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Таким образом, слово </w:t>
      </w:r>
      <w:proofErr w:type="spellStart"/>
      <w:r w:rsidRPr="00354334">
        <w:rPr>
          <w:rFonts w:ascii="Times New Roman" w:hAnsi="Times New Roman" w:cs="Times New Roman"/>
          <w:i/>
          <w:iCs/>
          <w:sz w:val="24"/>
          <w:szCs w:val="24"/>
        </w:rPr>
        <w:t>gueule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как термин «наивной анатомии» употребляется достаточно широко, обозначая, благодаря метонимическим переносам горло, лицо (морду животного), выражение лица, а также человека в целом. Употребляясь метонимически, оно применяется также к предметам.</w:t>
      </w:r>
    </w:p>
    <w:p w14:paraId="10C00817" w14:textId="2BB9B198" w:rsidR="00AB4548" w:rsidRPr="00B75D3F" w:rsidRDefault="00AB4548" w:rsidP="003543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32031879" w14:textId="77777777" w:rsidR="00AB4548" w:rsidRPr="00AB4548" w:rsidRDefault="00AB4548" w:rsidP="00B7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Аркадьев П.М.,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Крейдлин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Г.Е. Части тела и их функции (по данным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русскогоязыка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 и русского языка тела) // Слово и язык. Сборник статей к восьмидесятилетию академика Ю. Д.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Апресяна.М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., 2011 </w:t>
      </w:r>
    </w:p>
    <w:p w14:paraId="3BCEA3B0" w14:textId="77777777" w:rsidR="00AB4548" w:rsidRPr="00AB4548" w:rsidRDefault="00AB4548" w:rsidP="00B7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</w:rPr>
        <w:t xml:space="preserve">Французско-русский словарь арго, просторечия и </w:t>
      </w:r>
      <w:proofErr w:type="spellStart"/>
      <w:r w:rsidRPr="00AB4548">
        <w:rPr>
          <w:rFonts w:ascii="Times New Roman" w:hAnsi="Times New Roman" w:cs="Times New Roman"/>
          <w:sz w:val="24"/>
          <w:szCs w:val="24"/>
        </w:rPr>
        <w:t>фамильяризмов</w:t>
      </w:r>
      <w:proofErr w:type="spellEnd"/>
      <w:r w:rsidRPr="00AB4548">
        <w:rPr>
          <w:rFonts w:ascii="Times New Roman" w:hAnsi="Times New Roman" w:cs="Times New Roman"/>
          <w:sz w:val="24"/>
          <w:szCs w:val="24"/>
        </w:rPr>
        <w:t xml:space="preserve">: более 12 000 слов и словосочетаний : [справ. изд.] / Т. Н. Громова, Е. Ф. Гринева. — М. : Нестор Академик, 2012 </w:t>
      </w:r>
    </w:p>
    <w:p w14:paraId="016A6697" w14:textId="77777777" w:rsidR="00AB4548" w:rsidRPr="00AB4548" w:rsidRDefault="00AB4548" w:rsidP="00B7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Dictionnaire</w:t>
      </w:r>
      <w:proofErr w:type="spellEnd"/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historique</w:t>
      </w:r>
      <w:proofErr w:type="spellEnd"/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 de la langue française / Sous la dir. de Alain Rey. T. 2. Paris. 2000. </w:t>
      </w:r>
    </w:p>
    <w:p w14:paraId="69EE658D" w14:textId="77777777" w:rsidR="00AB4548" w:rsidRPr="00AB4548" w:rsidRDefault="00AB4548" w:rsidP="00B7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PR. Robert Paul. </w:t>
      </w: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Dictionnaire</w:t>
      </w:r>
      <w:proofErr w:type="spellEnd"/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apphabétique</w:t>
      </w:r>
      <w:proofErr w:type="spellEnd"/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AB4548">
        <w:rPr>
          <w:rFonts w:ascii="Times New Roman" w:hAnsi="Times New Roman" w:cs="Times New Roman"/>
          <w:sz w:val="24"/>
          <w:szCs w:val="24"/>
          <w:lang w:val="en-US"/>
        </w:rPr>
        <w:t>analogique</w:t>
      </w:r>
      <w:proofErr w:type="spellEnd"/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 de la langue française. </w:t>
      </w:r>
      <w:r w:rsidRPr="00AB4548">
        <w:rPr>
          <w:rFonts w:ascii="Times New Roman" w:hAnsi="Times New Roman" w:cs="Times New Roman"/>
          <w:sz w:val="24"/>
          <w:szCs w:val="24"/>
        </w:rPr>
        <w:t xml:space="preserve">Paris: Le Robert, 2019. </w:t>
      </w:r>
    </w:p>
    <w:p w14:paraId="196385C9" w14:textId="2A6AA417" w:rsidR="007F63F8" w:rsidRPr="00AB4548" w:rsidRDefault="00AB4548" w:rsidP="00B7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548">
        <w:rPr>
          <w:rFonts w:ascii="Times New Roman" w:hAnsi="Times New Roman" w:cs="Times New Roman"/>
          <w:sz w:val="24"/>
          <w:szCs w:val="24"/>
          <w:lang w:val="en-US"/>
        </w:rPr>
        <w:t xml:space="preserve">The Oxford Latin Dictionary. – Oxford: University Press, 2012. </w:t>
      </w:r>
    </w:p>
    <w:sectPr w:rsidR="007F63F8" w:rsidRPr="00AB4548" w:rsidSect="00AB45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48"/>
    <w:rsid w:val="001F3A5D"/>
    <w:rsid w:val="002003EC"/>
    <w:rsid w:val="0022001A"/>
    <w:rsid w:val="00354334"/>
    <w:rsid w:val="00566BEC"/>
    <w:rsid w:val="007F63F8"/>
    <w:rsid w:val="00AB4548"/>
    <w:rsid w:val="00B75D3F"/>
    <w:rsid w:val="00F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C00D"/>
  <w15:chartTrackingRefBased/>
  <w15:docId w15:val="{498033C2-13D7-4333-95B0-4414B4B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4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4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5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45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4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4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4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4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45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45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45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4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45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4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717</Words>
  <Characters>4503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Селюкова</dc:creator>
  <cp:keywords/>
  <dc:description/>
  <cp:lastModifiedBy>Мария Селюкова</cp:lastModifiedBy>
  <cp:revision>2</cp:revision>
  <dcterms:created xsi:type="dcterms:W3CDTF">2025-03-04T19:18:00Z</dcterms:created>
  <dcterms:modified xsi:type="dcterms:W3CDTF">2025-03-04T19:47:00Z</dcterms:modified>
</cp:coreProperties>
</file>