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60" w:line="240" w:lineRule="auto"/>
        <w:ind w:firstLine="425.1968503937008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Рецепция античности в стихотворном цикле «Ночных песен» Ф. Гёльдерлина</w:t>
      </w:r>
    </w:p>
    <w:p w:rsidR="00000000" w:rsidDel="00000000" w:rsidP="00000000" w:rsidRDefault="00000000" w:rsidRPr="00000000" w14:paraId="00000002">
      <w:pPr>
        <w:widowControl w:val="0"/>
        <w:spacing w:after="160" w:line="240" w:lineRule="auto"/>
        <w:ind w:firstLine="425.1968503937008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Монахова Мария Юрьевна</w:t>
      </w:r>
    </w:p>
    <w:p w:rsidR="00000000" w:rsidDel="00000000" w:rsidP="00000000" w:rsidRDefault="00000000" w:rsidRPr="00000000" w14:paraId="00000003">
      <w:pPr>
        <w:widowControl w:val="0"/>
        <w:spacing w:after="160" w:line="240" w:lineRule="auto"/>
        <w:ind w:firstLine="425.1968503937008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Московского государственного университета имени М.В. Ломоносова, Москва, Россия</w:t>
      </w:r>
    </w:p>
    <w:p w:rsidR="00000000" w:rsidDel="00000000" w:rsidP="00000000" w:rsidRDefault="00000000" w:rsidRPr="00000000" w14:paraId="00000004">
      <w:pPr>
        <w:widowControl w:val="0"/>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декабре 1803 года Фридрих Гёльдерлин передал издателю Фридриху Вильмансу девять стихотворений для альманаха “Taschenbuch” на 1805 год. Опубликованные под названием “Gedichte. Von Fr. Hölderlin” без явного указания на поэтический цикл “Nachtgesänge” (Ночные песни), эти стихотворения, вероятно, подверглись переработке автором перед публикацией. Шесть из них – оды: пять написаны алкеевой строфой, а одна — асклепиадовой; три других произведения написаны свободными ритмами (Freirhythmisch).</w:t>
      </w:r>
    </w:p>
    <w:p w:rsidR="00000000" w:rsidDel="00000000" w:rsidP="00000000" w:rsidRDefault="00000000" w:rsidRPr="00000000" w14:paraId="00000005">
      <w:pPr>
        <w:widowControl w:val="0"/>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Реакция современников на стихотворения была неоднозначной: критики отмечали их «мрачность» и «высокомерие», хотя Карл Филипп Конц, бывший преподаватель Гёльдерлина, хвалил их оригинальность и сложность. Признание пришло позднее: в 1826 году стихотворения были включены в первое собрание сочинений, а в 1846 году Кристоф Теодор Шваб опубликовал их в полном объёме. В XX веке «Ночные песни» вошли в значимые издания, включая «Пропилеи» (1916) и «Историко-критическую штутгартскую публикацию» (1951). История публикаций тесно связана с восприятием болезни Гёльдерлина: только в XX веке они стали восприниматься как произведения искусства. Уилфред Л. Клинг, Анке Беннхольд-Томсен и Майкл Гехманн анализировали цикл как единое целое, выявляя структуру и связь между стихотворениями.</w:t>
      </w:r>
    </w:p>
    <w:p w:rsidR="00000000" w:rsidDel="00000000" w:rsidP="00000000" w:rsidRDefault="00000000" w:rsidRPr="00000000" w14:paraId="00000006">
      <w:pPr>
        <w:widowControl w:val="0"/>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Fonts w:ascii="Times New Roman" w:cs="Times New Roman" w:eastAsia="Times New Roman" w:hAnsi="Times New Roman"/>
          <w:sz w:val="24"/>
          <w:szCs w:val="24"/>
          <w:rtl w:val="0"/>
        </w:rPr>
        <w:t xml:space="preserve">письме к издателю Гёльдерлин противопоставляет меланхоличный тон «Ночных пeсен» «высокому и торжественному» тону (dem hohen, feierlichen, begeisterten Ton) своих «Vaterländische Gesänge» (Отечественных песен). «Отечественные песни» были написаны под влиянием перевода Пиндара, тогда как «Nachtgesänge», скорее, отражают историческую философию поэта в более пессимистичном ключе. Концепция цикла основана на идее движения культуры от Востока к Западу, что отражается в цикле через мифологические образы и в общем ощущении покинутости. Кроме того, присутствующий в названии образ «ночи» в творчестве Гёльдерлина никак не связан с мистицизмом — это время кризиса, изоляции лирического субъекта, когда «восхитительная весенняя пора в Греции» миновала, а новая жизнь, «полная божественного смысла», ещё далека, Гёльдерлин осознает себя «поэтом в скудное время» (Dichter in dürftiger Zeit). «Общий знаменатель этих стихов проистекает из этого состояния ещё не современной культуры и уже не античной. Для него характерно преобладание самоограничения, ограниченность культурных возможностей и отсутствие опыта на Севере» [Bennhold-Thomsen 2002, S. 339].</w:t>
      </w:r>
    </w:p>
    <w:p w:rsidR="00000000" w:rsidDel="00000000" w:rsidP="00000000" w:rsidRDefault="00000000" w:rsidRPr="00000000" w14:paraId="00000007">
      <w:pPr>
        <w:widowControl w:val="0"/>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Общим мотивом «Ночных песен» является конфликт между античным идеалом и современной Гёльдерлину реальностью. Так, в оде «Хирон» (Chiron) в образе кентавра, который традиционно ассоциируется с мудростью, поэт видит своего духовного родственника, страдающего от болезни и тоскующего по утраченной юности. И поэт, и Хирон, обладая способностью исцелять людей и помогать им, оказываются в безвыходном положении, надеясь только на будущее спасение: “…Die Wahrsagung / Zerreißt nicht, und umsonst nicht wartet, / Bis sie erscheinet, Herakles Rückkehr”. В оде «Слёзы» (Tränen) лирический субъект ностальгирует по утраченной Греции, в то время как его эмоции (сами слёзы) побуждают к принятию реальности. Слёзы приводят героя к постепенному забвению прошлого, которое для него является важной, но болезненной частью жизни. Примечательно также, что черновой вариант оды носил название “Sapphos Schwanengesang” («Лебединая песнь Сапфо») и тяготел к сапфической строфике в духе Клопштока. В стихотворении же «К надежде» (An die Hoffnung) поэт колеблется между идеализированным представлением о надежде, связанным с греческой мифологией, и глубокой меланхолией. Надежда предстаёт посредницей, связывающей человеческую жизнь с божественным, подобно Гермесу или Гекате. Мотив бренности бытия пересекается с memento mori Горация. При этом надежда ищется также в природе, locus amoenus, как источнике счастья, понятом в духе эпикурейской философии.</w:t>
      </w:r>
    </w:p>
    <w:p w:rsidR="00000000" w:rsidDel="00000000" w:rsidP="00000000" w:rsidRDefault="00000000" w:rsidRPr="00000000" w14:paraId="00000008">
      <w:pPr>
        <w:widowControl w:val="0"/>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Цикл также характеризует дихотомия созидания и разрушения, то, что Гёльдерлин называл оргическим и аоргическим началом. В «Вулкане» (Vulkan) творческая энергия бога огня противопоставляется северному ветру как разрушительной силе природы. В то же время, образ «вечно гневающегося Борея», по мнению Ф. Байснера, поэт заимствует из «Одиссеи» Гомера [</w:t>
      </w:r>
      <w:r w:rsidDel="00000000" w:rsidR="00000000" w:rsidRPr="00000000">
        <w:rPr>
          <w:rFonts w:ascii="Times New Roman" w:cs="Times New Roman" w:eastAsia="Times New Roman" w:hAnsi="Times New Roman"/>
          <w:sz w:val="24"/>
          <w:szCs w:val="24"/>
          <w:highlight w:val="white"/>
          <w:rtl w:val="0"/>
        </w:rPr>
        <w:t xml:space="preserve">Hölderlin Friedrich; Beißner Friedrich, S. 527</w:t>
      </w:r>
      <w:r w:rsidDel="00000000" w:rsidR="00000000" w:rsidRPr="00000000">
        <w:rPr>
          <w:rFonts w:ascii="Times New Roman" w:cs="Times New Roman" w:eastAsia="Times New Roman" w:hAnsi="Times New Roman"/>
          <w:sz w:val="24"/>
          <w:szCs w:val="24"/>
          <w:rtl w:val="0"/>
        </w:rPr>
        <w:t xml:space="preserve">]. В «Робости» (Blödigkeit) философская направленность позволяет увидеть своеобразную интерпретацию концепции «гения», стоических мотивов и ориентацию на поэзию Пиндара, но одновременно с этим стихотворение проникнуто мыслью о невозможности современных поэтов сравниться с античными мастерами. В оде «Ганимед» (Ganymed) Гёльдерлин аллегорически использует античный миф о сыне троянского царя и виночерпии Зевса, который сравнивается с поэтом, посвятившим себя служению божественному. Участвуя «в трапезе небожителей», поэт достигает высшего блаженства, но теперь, когда его земной «поток» замёрз (gefesselte Strom), он может лишь надеяться на высшие силы, которые с приходом весны освободят «поток», как ранее Ганимеда от «земного плена», и превратят его в бурный родник.</w:t>
      </w:r>
    </w:p>
    <w:p w:rsidR="00000000" w:rsidDel="00000000" w:rsidP="00000000" w:rsidRDefault="00000000" w:rsidRPr="00000000" w14:paraId="00000009">
      <w:pPr>
        <w:widowControl w:val="0"/>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поэтический цикл «Ночные песни» представляет собой не попытку воссоздания античного мира, а глубокое его переосмысление и интеграцию в трагически окрашенное мировоззрение поэта. Здесь античность рассматривается как динамичный источник вдохновения, где автор находит материал для размышлений о вечных вопросах бытия, искусства и мироздании. В отличие от простого подражания античным формам, Гёльдерлин создаёт собственную поэтическую реальность, в которой античность становится неотъемлемой частью личного мифа.</w:t>
      </w:r>
    </w:p>
    <w:p w:rsidR="00000000" w:rsidDel="00000000" w:rsidP="00000000" w:rsidRDefault="00000000" w:rsidRPr="00000000" w14:paraId="0000000A">
      <w:pPr>
        <w:widowControl w:val="0"/>
        <w:spacing w:after="240" w:before="240" w:line="240" w:lineRule="auto"/>
        <w:ind w:left="0" w:firstLine="425.196850393700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after="16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0C">
      <w:pPr>
        <w:widowControl w:val="0"/>
        <w:spacing w:after="16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Bennholdt-Thomsen Anke. </w:t>
      </w:r>
      <w:r w:rsidDel="00000000" w:rsidR="00000000" w:rsidRPr="00000000">
        <w:rPr>
          <w:rFonts w:ascii="Times New Roman" w:cs="Times New Roman" w:eastAsia="Times New Roman" w:hAnsi="Times New Roman"/>
          <w:sz w:val="24"/>
          <w:szCs w:val="24"/>
          <w:highlight w:val="white"/>
          <w:rtl w:val="0"/>
        </w:rPr>
        <w:t xml:space="preserve">Hölderlin-Handbuch. Leben - Werk - Wirken. Stuttgart/Weimar 2002, S. 336-346.</w:t>
      </w:r>
      <w:r w:rsidDel="00000000" w:rsidR="00000000" w:rsidRPr="00000000">
        <w:rPr>
          <w:rtl w:val="0"/>
        </w:rPr>
      </w:r>
    </w:p>
    <w:p w:rsidR="00000000" w:rsidDel="00000000" w:rsidP="00000000" w:rsidRDefault="00000000" w:rsidRPr="00000000" w14:paraId="0000000D">
      <w:pPr>
        <w:widowControl w:val="0"/>
        <w:spacing w:after="160"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white"/>
          <w:rtl w:val="0"/>
        </w:rPr>
        <w:t xml:space="preserve">Hölderlin Friedrich; Beißner Friedrich. Gedichte nach 1800 / Lesarten und Erläuterungen. Bd. 2, Hälfte 2. Stuttgart: Kohlhammer, 1990, S. 527.</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