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92980" w14:textId="46F7ED6C" w:rsidR="00015A16" w:rsidRDefault="00000000" w:rsidP="0021213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Образ шекспировской Имогены</w:t>
      </w:r>
    </w:p>
    <w:p w14:paraId="3162167A" w14:textId="2DF1EECF" w:rsidR="00015A16" w:rsidRPr="00212138" w:rsidRDefault="00000000" w:rsidP="00C6077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в феминистской критике второй половины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века</w:t>
      </w:r>
    </w:p>
    <w:p w14:paraId="1B05190B" w14:textId="77777777" w:rsidR="00015A16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Самойлова Елизавета Дмитриевна</w:t>
      </w:r>
    </w:p>
    <w:p w14:paraId="2D9E82DB" w14:textId="77777777" w:rsidR="00015A16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Аспирантка Московского государственного университета имени М.В. Ломоносова, Москва, Россия</w:t>
      </w:r>
    </w:p>
    <w:p w14:paraId="350EC674" w14:textId="25880EC0" w:rsidR="00015A16" w:rsidRPr="0021213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Во второй половине XX в</w:t>
      </w:r>
      <w:r w:rsidR="00D157B8">
        <w:rPr>
          <w:rFonts w:ascii="Times New Roman" w:hAnsi="Times New Roman"/>
          <w:sz w:val="24"/>
          <w:szCs w:val="24"/>
          <w:lang w:val="ru-RU"/>
        </w:rPr>
        <w:t>ека</w:t>
      </w:r>
      <w:r>
        <w:rPr>
          <w:rFonts w:ascii="Times New Roman" w:hAnsi="Times New Roman"/>
          <w:sz w:val="24"/>
          <w:szCs w:val="24"/>
          <w:lang w:val="ru-RU"/>
        </w:rPr>
        <w:t xml:space="preserve"> на Западе (в частности, в Великобритании и США) можно наблюдать устойчивый интерес к поздней драматургии У. Шекспира, нередко выявляющий примечательные сдвиги в культурной парадигме и эстетических воззрениях новейшей эпохи, стремящейся обрести «своего» Шекспира.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Возникают новые критические подходы и направления, отражающиеся в послевоенной рецепции шекспировского творчества – в частности, феминистский: критиков второй половины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  <w:lang w:val="ru-RU"/>
        </w:rPr>
        <w:t xml:space="preserve"> в</w:t>
      </w:r>
      <w:r w:rsidR="00D157B8">
        <w:rPr>
          <w:rFonts w:ascii="Times New Roman" w:hAnsi="Times New Roman"/>
          <w:sz w:val="24"/>
          <w:szCs w:val="24"/>
          <w:lang w:val="ru-RU"/>
        </w:rPr>
        <w:t>ека</w:t>
      </w:r>
      <w:r>
        <w:rPr>
          <w:rFonts w:ascii="Times New Roman" w:hAnsi="Times New Roman"/>
          <w:sz w:val="24"/>
          <w:szCs w:val="24"/>
          <w:lang w:val="ru-RU"/>
        </w:rPr>
        <w:t xml:space="preserve"> начинают </w:t>
      </w:r>
      <w:r w:rsidR="00212138">
        <w:rPr>
          <w:rFonts w:ascii="Times New Roman" w:hAnsi="Times New Roman"/>
          <w:sz w:val="24"/>
          <w:szCs w:val="24"/>
          <w:lang w:val="ru-RU"/>
        </w:rPr>
        <w:t>подчёркнуто</w:t>
      </w:r>
      <w:r>
        <w:rPr>
          <w:rFonts w:ascii="Times New Roman" w:hAnsi="Times New Roman"/>
          <w:sz w:val="24"/>
          <w:szCs w:val="24"/>
          <w:lang w:val="ru-RU"/>
        </w:rPr>
        <w:t xml:space="preserve"> интересовать женские персонажи шекспировских драм.</w:t>
      </w:r>
      <w:r w:rsidR="00870C77">
        <w:rPr>
          <w:rFonts w:ascii="Times New Roman" w:hAnsi="Times New Roman"/>
          <w:sz w:val="24"/>
          <w:szCs w:val="24"/>
          <w:lang w:val="ru-RU"/>
        </w:rPr>
        <w:t xml:space="preserve"> Феминистская критика</w:t>
      </w:r>
      <w:r w:rsidR="000E61D3">
        <w:rPr>
          <w:rFonts w:ascii="Times New Roman" w:hAnsi="Times New Roman"/>
          <w:sz w:val="24"/>
          <w:szCs w:val="24"/>
          <w:lang w:val="ru-RU"/>
        </w:rPr>
        <w:t>, выросшая на почве переосмысления идей французского постструктурализма,</w:t>
      </w:r>
      <w:r w:rsidR="00870C77">
        <w:rPr>
          <w:rFonts w:ascii="Times New Roman" w:hAnsi="Times New Roman"/>
          <w:sz w:val="24"/>
          <w:szCs w:val="24"/>
          <w:lang w:val="ru-RU"/>
        </w:rPr>
        <w:t xml:space="preserve"> стала одн</w:t>
      </w:r>
      <w:r w:rsidR="00C6077C">
        <w:rPr>
          <w:rFonts w:ascii="Times New Roman" w:hAnsi="Times New Roman"/>
          <w:sz w:val="24"/>
          <w:szCs w:val="24"/>
          <w:lang w:val="ru-RU"/>
        </w:rPr>
        <w:t>им</w:t>
      </w:r>
      <w:r w:rsidR="00870C77">
        <w:rPr>
          <w:rFonts w:ascii="Times New Roman" w:hAnsi="Times New Roman"/>
          <w:sz w:val="24"/>
          <w:szCs w:val="24"/>
          <w:lang w:val="ru-RU"/>
        </w:rPr>
        <w:t xml:space="preserve"> из самых влиятельных и масштабных направлений в западном литературоведении второй половины </w:t>
      </w:r>
      <w:r w:rsidR="00870C77">
        <w:rPr>
          <w:rFonts w:ascii="Times New Roman" w:hAnsi="Times New Roman"/>
          <w:sz w:val="24"/>
          <w:szCs w:val="24"/>
          <w:lang w:val="en-US"/>
        </w:rPr>
        <w:t>XX</w:t>
      </w:r>
      <w:r w:rsidR="00870C77" w:rsidRPr="00870C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0C77">
        <w:rPr>
          <w:rFonts w:ascii="Times New Roman" w:hAnsi="Times New Roman"/>
          <w:sz w:val="24"/>
          <w:szCs w:val="24"/>
          <w:lang w:val="ru-RU"/>
        </w:rPr>
        <w:t xml:space="preserve">века. </w:t>
      </w:r>
      <w:r w:rsidR="00C6077C">
        <w:rPr>
          <w:rFonts w:ascii="Times New Roman" w:hAnsi="Times New Roman"/>
          <w:sz w:val="24"/>
          <w:szCs w:val="24"/>
          <w:lang w:val="ru-RU"/>
        </w:rPr>
        <w:t xml:space="preserve">В центре данной критической школы стоит проблема традиционной «патриархальной» литературы и </w:t>
      </w:r>
      <w:r w:rsidR="00361465">
        <w:rPr>
          <w:rFonts w:ascii="Times New Roman" w:hAnsi="Times New Roman"/>
          <w:sz w:val="24"/>
          <w:szCs w:val="24"/>
          <w:lang w:val="ru-RU"/>
        </w:rPr>
        <w:t xml:space="preserve">писательского </w:t>
      </w:r>
      <w:r w:rsidR="00EC277D">
        <w:rPr>
          <w:rFonts w:ascii="Times New Roman" w:hAnsi="Times New Roman"/>
          <w:sz w:val="24"/>
          <w:szCs w:val="24"/>
          <w:lang w:val="ru-RU"/>
        </w:rPr>
        <w:t xml:space="preserve">гендерного </w:t>
      </w:r>
      <w:r w:rsidR="00361465">
        <w:rPr>
          <w:rFonts w:ascii="Times New Roman" w:hAnsi="Times New Roman"/>
          <w:sz w:val="24"/>
          <w:szCs w:val="24"/>
          <w:lang w:val="ru-RU"/>
        </w:rPr>
        <w:t>превосходства. Представители феминистской критики борются с преобладанием исключитель</w:t>
      </w:r>
      <w:r w:rsidR="00EC277D">
        <w:rPr>
          <w:rFonts w:ascii="Times New Roman" w:hAnsi="Times New Roman"/>
          <w:sz w:val="24"/>
          <w:szCs w:val="24"/>
          <w:lang w:val="ru-RU"/>
        </w:rPr>
        <w:t>н</w:t>
      </w:r>
      <w:r w:rsidR="00361465">
        <w:rPr>
          <w:rFonts w:ascii="Times New Roman" w:hAnsi="Times New Roman"/>
          <w:sz w:val="24"/>
          <w:szCs w:val="24"/>
          <w:lang w:val="ru-RU"/>
        </w:rPr>
        <w:t>о мужского понимания и изображения мира в литературе.</w:t>
      </w:r>
      <w:r w:rsidR="00A940D2">
        <w:rPr>
          <w:rFonts w:ascii="Times New Roman" w:hAnsi="Times New Roman"/>
          <w:sz w:val="24"/>
          <w:szCs w:val="24"/>
          <w:lang w:val="ru-RU"/>
        </w:rPr>
        <w:t xml:space="preserve"> Литературоведами выделяются две волны феминизма: в контексте темы </w:t>
      </w:r>
      <w:r w:rsidR="00EC277D">
        <w:rPr>
          <w:rFonts w:ascii="Times New Roman" w:hAnsi="Times New Roman"/>
          <w:sz w:val="24"/>
          <w:szCs w:val="24"/>
          <w:lang w:val="ru-RU"/>
        </w:rPr>
        <w:t xml:space="preserve">актуальной для нас </w:t>
      </w:r>
      <w:r w:rsidR="00A940D2">
        <w:rPr>
          <w:rFonts w:ascii="Times New Roman" w:hAnsi="Times New Roman"/>
          <w:sz w:val="24"/>
          <w:szCs w:val="24"/>
          <w:lang w:val="ru-RU"/>
        </w:rPr>
        <w:t>становится вторая волна феминизма</w:t>
      </w:r>
      <w:r w:rsidR="00203CD1">
        <w:rPr>
          <w:rFonts w:ascii="Times New Roman" w:hAnsi="Times New Roman"/>
          <w:sz w:val="24"/>
          <w:szCs w:val="24"/>
          <w:lang w:val="ru-RU"/>
        </w:rPr>
        <w:t>, начавшаяся</w:t>
      </w:r>
      <w:r w:rsidR="00A940D2">
        <w:rPr>
          <w:rFonts w:ascii="Times New Roman" w:hAnsi="Times New Roman"/>
          <w:sz w:val="24"/>
          <w:szCs w:val="24"/>
          <w:lang w:val="ru-RU"/>
        </w:rPr>
        <w:t xml:space="preserve"> в 60-е годы </w:t>
      </w:r>
      <w:r w:rsidR="00A940D2">
        <w:rPr>
          <w:rFonts w:ascii="Times New Roman" w:hAnsi="Times New Roman"/>
          <w:sz w:val="24"/>
          <w:szCs w:val="24"/>
          <w:lang w:val="en-US"/>
        </w:rPr>
        <w:t>XX</w:t>
      </w:r>
      <w:r w:rsidR="00A940D2" w:rsidRPr="00A940D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940D2">
        <w:rPr>
          <w:rFonts w:ascii="Times New Roman" w:hAnsi="Times New Roman"/>
          <w:sz w:val="24"/>
          <w:szCs w:val="24"/>
          <w:lang w:val="ru-RU"/>
        </w:rPr>
        <w:t>века</w:t>
      </w:r>
      <w:r w:rsidR="00203CD1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A84081">
        <w:rPr>
          <w:rFonts w:ascii="Times New Roman" w:hAnsi="Times New Roman"/>
          <w:sz w:val="24"/>
          <w:szCs w:val="24"/>
          <w:lang w:val="ru-RU"/>
        </w:rPr>
        <w:t>США</w:t>
      </w:r>
      <w:r w:rsidR="00A940D2">
        <w:rPr>
          <w:rFonts w:ascii="Times New Roman" w:hAnsi="Times New Roman"/>
          <w:sz w:val="24"/>
          <w:szCs w:val="24"/>
          <w:lang w:val="ru-RU"/>
        </w:rPr>
        <w:t>.</w:t>
      </w:r>
      <w:r w:rsidR="00C607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61D3">
        <w:rPr>
          <w:rFonts w:ascii="Times New Roman" w:hAnsi="Times New Roman"/>
          <w:sz w:val="24"/>
          <w:szCs w:val="24"/>
          <w:lang w:val="ru-RU"/>
        </w:rPr>
        <w:t>Виднейшими представителями феминисткой критической школы являются Элейн Шоуолтер (</w:t>
      </w:r>
      <w:r w:rsidR="000E61D3" w:rsidRPr="000E61D3">
        <w:rPr>
          <w:rFonts w:ascii="Times New Roman" w:hAnsi="Times New Roman"/>
          <w:sz w:val="24"/>
          <w:szCs w:val="24"/>
          <w:lang w:val="ru-RU"/>
        </w:rPr>
        <w:t>Showalter</w:t>
      </w:r>
      <w:r w:rsidR="0028404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8404E">
        <w:rPr>
          <w:rFonts w:ascii="Times New Roman" w:hAnsi="Times New Roman"/>
          <w:sz w:val="24"/>
          <w:szCs w:val="24"/>
          <w:lang w:val="en-US"/>
        </w:rPr>
        <w:t>Elaine</w:t>
      </w:r>
      <w:r w:rsidR="000E61D3">
        <w:rPr>
          <w:rFonts w:ascii="Times New Roman" w:hAnsi="Times New Roman"/>
          <w:sz w:val="24"/>
          <w:szCs w:val="24"/>
          <w:lang w:val="ru-RU"/>
        </w:rPr>
        <w:t xml:space="preserve">) и </w:t>
      </w:r>
      <w:r w:rsidR="00F2397A">
        <w:rPr>
          <w:rFonts w:ascii="Times New Roman" w:hAnsi="Times New Roman"/>
          <w:sz w:val="24"/>
          <w:szCs w:val="24"/>
          <w:lang w:val="ru-RU"/>
        </w:rPr>
        <w:t>Сандра Гилберт (</w:t>
      </w:r>
      <w:r w:rsidR="00F2397A">
        <w:rPr>
          <w:rFonts w:ascii="Times New Roman" w:hAnsi="Times New Roman"/>
          <w:sz w:val="24"/>
          <w:szCs w:val="24"/>
          <w:lang w:val="en-US"/>
        </w:rPr>
        <w:t>Gilbert</w:t>
      </w:r>
      <w:r w:rsidR="0028404E" w:rsidRPr="0028404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8404E">
        <w:rPr>
          <w:rFonts w:ascii="Times New Roman" w:hAnsi="Times New Roman"/>
          <w:sz w:val="24"/>
          <w:szCs w:val="24"/>
          <w:lang w:val="en-US"/>
        </w:rPr>
        <w:t>Sandra</w:t>
      </w:r>
      <w:r w:rsidR="00F2397A" w:rsidRPr="00F2397A">
        <w:rPr>
          <w:rFonts w:ascii="Times New Roman" w:hAnsi="Times New Roman"/>
          <w:sz w:val="24"/>
          <w:szCs w:val="24"/>
          <w:lang w:val="ru-RU"/>
        </w:rPr>
        <w:t xml:space="preserve">). </w:t>
      </w:r>
      <w:r>
        <w:rPr>
          <w:rFonts w:ascii="Times New Roman" w:hAnsi="Times New Roman"/>
          <w:sz w:val="24"/>
          <w:szCs w:val="24"/>
          <w:lang w:val="ru-RU"/>
        </w:rPr>
        <w:t>Особенно привлекают внимание литературоведов шекспировские трагикомедии: вместе с жанровой природой пьес усложняются и персонажи. Если ранее в комедиях и трагедиях героини Шекспира так или иначе соответствовали «женской» части возможных драматических амплуа, то в позднем периоде шекспировского творчества перед зрителями предстают женские персонажи, по своим функциям отчасти могущие быть приравненными к мужским. Женское начало у Шекспира кажется критике «воплощением акцента последних пьес на искуплении, мире, гармонии, обновлении» [</w:t>
      </w:r>
      <w:r>
        <w:rPr>
          <w:rFonts w:ascii="Times New Roman" w:hAnsi="Times New Roman"/>
          <w:sz w:val="24"/>
          <w:szCs w:val="24"/>
          <w:lang w:val="en-US"/>
        </w:rPr>
        <w:t>Taylor</w:t>
      </w:r>
      <w:r>
        <w:rPr>
          <w:rFonts w:ascii="Times New Roman" w:hAnsi="Times New Roman"/>
          <w:sz w:val="24"/>
          <w:szCs w:val="24"/>
          <w:lang w:val="ru-RU"/>
        </w:rPr>
        <w:t>: 204]. Одним из ярких примеров подобного примирения через женское начало выступает Имогена – центральная героиня трагикомедии «Цимбелин» (</w:t>
      </w:r>
      <w:r>
        <w:rPr>
          <w:rFonts w:ascii="Times New Roman" w:hAnsi="Times New Roman"/>
          <w:sz w:val="24"/>
          <w:szCs w:val="24"/>
          <w:lang w:val="en-US"/>
        </w:rPr>
        <w:t>Cymbeline</w:t>
      </w:r>
      <w:r>
        <w:rPr>
          <w:rFonts w:ascii="Times New Roman" w:hAnsi="Times New Roman"/>
          <w:sz w:val="24"/>
          <w:szCs w:val="24"/>
          <w:lang w:val="ru-RU"/>
        </w:rPr>
        <w:t>, 1609).</w:t>
      </w:r>
    </w:p>
    <w:p w14:paraId="12E02124" w14:textId="25C8C89B" w:rsidR="00015A16" w:rsidRPr="0021213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 первую очередь критики начинают рассуждать не только о самих женских персонажах в шекспировских драмах</w:t>
      </w:r>
      <w:r>
        <w:rPr>
          <w:rFonts w:ascii="Times New Roman" w:hAnsi="Times New Roman"/>
          <w:sz w:val="24"/>
          <w:szCs w:val="24"/>
          <w:lang w:val="ru-RU"/>
        </w:rPr>
        <w:t>, но и об их отсутствии: недостаток хорошо проработанных героинь в творчестве драматурга видится Стивеном Оргелом (Orgel, Stephen</w:t>
      </w:r>
      <w:r w:rsidR="0028404E" w:rsidRPr="0028404E">
        <w:rPr>
          <w:rFonts w:ascii="Times New Roman" w:hAnsi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sz w:val="24"/>
          <w:szCs w:val="24"/>
          <w:lang w:val="ru-RU"/>
        </w:rPr>
        <w:t>и Кэролом Томасом Нили (Neely</w:t>
      </w:r>
      <w:r w:rsidR="0028404E" w:rsidRPr="0028404E">
        <w:rPr>
          <w:rFonts w:ascii="Times New Roman" w:hAnsi="Times New Roman"/>
          <w:sz w:val="24"/>
          <w:szCs w:val="24"/>
          <w:lang w:val="ru-RU"/>
        </w:rPr>
        <w:t>, Carol Thomas</w:t>
      </w:r>
      <w:r>
        <w:rPr>
          <w:rFonts w:ascii="Times New Roman" w:hAnsi="Times New Roman"/>
          <w:sz w:val="24"/>
          <w:szCs w:val="24"/>
          <w:lang w:val="ru-RU"/>
        </w:rPr>
        <w:t>) серьезной проблемой. Валери Трауб (</w:t>
      </w:r>
      <w:r>
        <w:rPr>
          <w:rFonts w:ascii="Times New Roman" w:hAnsi="Times New Roman"/>
          <w:sz w:val="24"/>
          <w:szCs w:val="24"/>
          <w:lang w:val="en-US"/>
        </w:rPr>
        <w:t>Traub</w:t>
      </w:r>
      <w:r w:rsidR="0028404E" w:rsidRPr="0028404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8404E">
        <w:rPr>
          <w:rFonts w:ascii="Times New Roman" w:hAnsi="Times New Roman"/>
          <w:sz w:val="24"/>
          <w:szCs w:val="24"/>
          <w:lang w:val="en-US"/>
        </w:rPr>
        <w:t>Valerie</w:t>
      </w:r>
      <w:r>
        <w:rPr>
          <w:rFonts w:ascii="Times New Roman" w:hAnsi="Times New Roman"/>
          <w:sz w:val="24"/>
          <w:szCs w:val="24"/>
          <w:lang w:val="ru-RU"/>
        </w:rPr>
        <w:t>) связывает это с общественным угнетением женщин, которое приводит к тому, что драматические героини воспринимаются «либо как ангелы, либо как падшие женщины» [</w:t>
      </w:r>
      <w:r>
        <w:rPr>
          <w:rFonts w:ascii="Times New Roman" w:hAnsi="Times New Roman"/>
          <w:sz w:val="24"/>
          <w:szCs w:val="24"/>
          <w:lang w:val="en-US"/>
        </w:rPr>
        <w:t>Taylor</w:t>
      </w:r>
      <w:r>
        <w:rPr>
          <w:rFonts w:ascii="Times New Roman" w:hAnsi="Times New Roman"/>
          <w:sz w:val="24"/>
          <w:szCs w:val="24"/>
          <w:lang w:val="ru-RU"/>
        </w:rPr>
        <w:t xml:space="preserve">: 201]. </w:t>
      </w:r>
      <w:r w:rsidR="00FD7A81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браз </w:t>
      </w:r>
      <w:r w:rsidR="00FD7A81">
        <w:rPr>
          <w:rFonts w:ascii="Times New Roman" w:hAnsi="Times New Roman"/>
          <w:sz w:val="24"/>
          <w:szCs w:val="24"/>
          <w:lang w:val="ru-RU"/>
        </w:rPr>
        <w:t xml:space="preserve">Имогены </w:t>
      </w:r>
      <w:r>
        <w:rPr>
          <w:rFonts w:ascii="Times New Roman" w:hAnsi="Times New Roman"/>
          <w:sz w:val="24"/>
          <w:szCs w:val="24"/>
          <w:lang w:val="ru-RU"/>
        </w:rPr>
        <w:t>соединяет в себе противоречивые черты. Это подчеркивается на физическом уровне: в силу обстоятельств Имогене приходится прибегнуть к смене гендерных ролей и стать мужчиной. В мужском образе женское начало продолжает проявляться, однако не подавляет мужское: несмотря на жанровую новизну, особенностью шекспировских трагикомедий критики находят ч</w:t>
      </w:r>
      <w:r w:rsidR="00E97128">
        <w:rPr>
          <w:rFonts w:ascii="Times New Roman" w:hAnsi="Times New Roman"/>
          <w:sz w:val="24"/>
          <w:szCs w:val="24"/>
          <w:lang w:val="ru-RU"/>
        </w:rPr>
        <w:t>ё</w:t>
      </w:r>
      <w:r>
        <w:rPr>
          <w:rFonts w:ascii="Times New Roman" w:hAnsi="Times New Roman"/>
          <w:sz w:val="24"/>
          <w:szCs w:val="24"/>
          <w:lang w:val="ru-RU"/>
        </w:rPr>
        <w:t>ткое различие между мужским и женским [</w:t>
      </w:r>
      <w:r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Woman</w:t>
      </w:r>
      <w:r>
        <w:rPr>
          <w:rFonts w:ascii="Times New Roman" w:hAnsi="Times New Roman"/>
          <w:sz w:val="24"/>
          <w:szCs w:val="24"/>
          <w:lang w:val="ru-RU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Part</w:t>
      </w:r>
      <w:r>
        <w:rPr>
          <w:rFonts w:ascii="Times New Roman" w:hAnsi="Times New Roman"/>
          <w:sz w:val="24"/>
          <w:szCs w:val="24"/>
          <w:lang w:val="ru-RU"/>
        </w:rPr>
        <w:t>: 29]. Когда в образе мужчины Имогене грозит опасность, она оста</w:t>
      </w:r>
      <w:r w:rsidR="00E330AC">
        <w:rPr>
          <w:rFonts w:ascii="Times New Roman" w:hAnsi="Times New Roman"/>
          <w:sz w:val="24"/>
          <w:szCs w:val="24"/>
          <w:lang w:val="ru-RU"/>
        </w:rPr>
        <w:t>ё</w:t>
      </w:r>
      <w:r>
        <w:rPr>
          <w:rFonts w:ascii="Times New Roman" w:hAnsi="Times New Roman"/>
          <w:sz w:val="24"/>
          <w:szCs w:val="24"/>
          <w:lang w:val="ru-RU"/>
        </w:rPr>
        <w:t>тся мужчиной, хотя героиню охватывает присущий женщине страх. Женское начало продолжает доминировать: Имогена не оспаривает представления о покорной жене, пытаясь убить себя из-за ложных обвинений мужа, сама необходимость е</w:t>
      </w:r>
      <w:r w:rsidR="00D157B8">
        <w:rPr>
          <w:rFonts w:ascii="Times New Roman" w:hAnsi="Times New Roman"/>
          <w:sz w:val="24"/>
          <w:szCs w:val="24"/>
          <w:lang w:val="ru-RU"/>
        </w:rPr>
        <w:t>ё</w:t>
      </w:r>
      <w:r>
        <w:rPr>
          <w:rFonts w:ascii="Times New Roman" w:hAnsi="Times New Roman"/>
          <w:sz w:val="24"/>
          <w:szCs w:val="24"/>
          <w:lang w:val="ru-RU"/>
        </w:rPr>
        <w:t xml:space="preserve"> побега связана с Постумом, а идея с переодеванием принадлежит слуге-мужчине. Несмотря на подавляющее женское начало, мужское остается на Имогене, как маска. Зритель наблюдает за ловкостью героини при смене ролей, что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позволяет критикам заявить о двойственности образа: о мужественности характера Имоген</w:t>
      </w:r>
      <w:r w:rsidR="00A84081">
        <w:rPr>
          <w:rFonts w:ascii="Times New Roman" w:hAnsi="Times New Roman"/>
          <w:sz w:val="24"/>
          <w:szCs w:val="24"/>
          <w:lang w:val="ru-RU"/>
        </w:rPr>
        <w:t>ы</w:t>
      </w:r>
      <w:r>
        <w:rPr>
          <w:rFonts w:ascii="Times New Roman" w:hAnsi="Times New Roman"/>
          <w:sz w:val="24"/>
          <w:szCs w:val="24"/>
          <w:lang w:val="ru-RU"/>
        </w:rPr>
        <w:t xml:space="preserve"> и одновременно о е</w:t>
      </w:r>
      <w:r w:rsidR="00D157B8">
        <w:rPr>
          <w:rFonts w:ascii="Times New Roman" w:hAnsi="Times New Roman"/>
          <w:sz w:val="24"/>
          <w:szCs w:val="24"/>
          <w:lang w:val="ru-RU"/>
        </w:rPr>
        <w:t>ё</w:t>
      </w:r>
      <w:r>
        <w:rPr>
          <w:rFonts w:ascii="Times New Roman" w:hAnsi="Times New Roman"/>
          <w:sz w:val="24"/>
          <w:szCs w:val="24"/>
          <w:lang w:val="ru-RU"/>
        </w:rPr>
        <w:t xml:space="preserve"> женской покорности. </w:t>
      </w:r>
    </w:p>
    <w:p w14:paraId="3B64231E" w14:textId="347CFF95" w:rsidR="00015A16" w:rsidRPr="008D5831" w:rsidRDefault="00000000" w:rsidP="008D583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Оппозиция мужского и женского</w:t>
      </w:r>
      <w:r>
        <w:rPr>
          <w:rFonts w:ascii="Times New Roman" w:hAnsi="Times New Roman"/>
          <w:sz w:val="24"/>
          <w:szCs w:val="24"/>
          <w:lang w:val="ru-RU"/>
        </w:rPr>
        <w:t xml:space="preserve"> проявляется и в гендерных ролях, которые присущи образу Имогены. Так, героиня демонстрирует переход от «находчивых дев в комедиях к блаженным матерям в романтических драмах» [</w:t>
      </w:r>
      <w:r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Woman</w:t>
      </w:r>
      <w:r>
        <w:rPr>
          <w:rFonts w:ascii="Times New Roman" w:hAnsi="Times New Roman"/>
          <w:sz w:val="24"/>
          <w:szCs w:val="24"/>
          <w:lang w:val="ru-RU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Part</w:t>
      </w:r>
      <w:r>
        <w:rPr>
          <w:rFonts w:ascii="Times New Roman" w:hAnsi="Times New Roman"/>
          <w:sz w:val="24"/>
          <w:szCs w:val="24"/>
          <w:lang w:val="ru-RU"/>
        </w:rPr>
        <w:t>: 27].</w:t>
      </w:r>
      <w:r w:rsidR="008D5831">
        <w:rPr>
          <w:rFonts w:ascii="Times New Roman" w:hAnsi="Times New Roman"/>
          <w:sz w:val="24"/>
          <w:szCs w:val="24"/>
          <w:lang w:val="ru-RU"/>
        </w:rPr>
        <w:t xml:space="preserve"> О</w:t>
      </w:r>
      <w:r>
        <w:rPr>
          <w:rFonts w:ascii="Times New Roman" w:hAnsi="Times New Roman"/>
          <w:sz w:val="24"/>
          <w:szCs w:val="24"/>
          <w:lang w:val="ru-RU"/>
        </w:rPr>
        <w:t>тсутствие материнской фигуры, по мнению критиков, так же сильно влияет на героев, как и ее присутствие. Хелен Хэккетт (Hackett</w:t>
      </w:r>
      <w:r w:rsidR="00D96C2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96C2D" w:rsidRPr="00D96C2D">
        <w:rPr>
          <w:rFonts w:ascii="Times New Roman" w:hAnsi="Times New Roman"/>
          <w:sz w:val="24"/>
          <w:szCs w:val="24"/>
          <w:lang w:val="ru-RU"/>
        </w:rPr>
        <w:t>Helen</w:t>
      </w:r>
      <w:r>
        <w:rPr>
          <w:rFonts w:ascii="Times New Roman" w:hAnsi="Times New Roman"/>
          <w:sz w:val="24"/>
          <w:szCs w:val="24"/>
          <w:lang w:val="ru-RU"/>
        </w:rPr>
        <w:t>) даже предлагает считать трагикомедию «материнским жанром» [</w:t>
      </w:r>
      <w:r>
        <w:rPr>
          <w:rFonts w:ascii="Times New Roman" w:hAnsi="Times New Roman"/>
          <w:sz w:val="24"/>
          <w:szCs w:val="24"/>
          <w:lang w:val="en-US"/>
        </w:rPr>
        <w:t>Shakespeare</w:t>
      </w:r>
      <w:r>
        <w:rPr>
          <w:rFonts w:ascii="Times New Roman" w:hAnsi="Times New Roman"/>
          <w:sz w:val="24"/>
          <w:szCs w:val="24"/>
          <w:lang w:val="ru-RU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Late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Plays</w:t>
      </w:r>
      <w:r>
        <w:rPr>
          <w:rFonts w:ascii="Times New Roman" w:hAnsi="Times New Roman"/>
          <w:sz w:val="24"/>
          <w:szCs w:val="24"/>
          <w:lang w:val="ru-RU"/>
        </w:rPr>
        <w:t>: 29]. Появляется образ Имогены-дочери в качестве важного образа, тесно связанного с оппозицией мужское / женское. Критики настаивают на том, что, в силу отсутствия матери, героини становятся продолжателями своих отцов, хотя традиционно эта роль отводится сыновьям. Воссоединение и расширение семьи во многом происходит благодаря Имогене: авантюра дочери с поиском зятя, свежей крови для рода, по мнению критиков феминистской школы, помогает королю возродить страну – так считает, например, Чарлз Фрей (</w:t>
      </w:r>
      <w:r>
        <w:rPr>
          <w:rFonts w:ascii="Times New Roman" w:hAnsi="Times New Roman"/>
          <w:sz w:val="24"/>
          <w:szCs w:val="24"/>
          <w:lang w:val="en-US"/>
        </w:rPr>
        <w:t>Frey</w:t>
      </w:r>
      <w:r w:rsidR="00D96C2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96C2D">
        <w:rPr>
          <w:rFonts w:ascii="Times New Roman" w:hAnsi="Times New Roman"/>
          <w:sz w:val="24"/>
          <w:szCs w:val="24"/>
          <w:lang w:val="en-US"/>
        </w:rPr>
        <w:t>Charles</w:t>
      </w:r>
      <w:r>
        <w:rPr>
          <w:rFonts w:ascii="Times New Roman" w:hAnsi="Times New Roman"/>
          <w:sz w:val="24"/>
          <w:szCs w:val="24"/>
          <w:lang w:val="ru-RU"/>
        </w:rPr>
        <w:t>) [</w:t>
      </w:r>
      <w:r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Woman</w:t>
      </w:r>
      <w:r>
        <w:rPr>
          <w:rFonts w:ascii="Times New Roman" w:hAnsi="Times New Roman"/>
          <w:sz w:val="24"/>
          <w:szCs w:val="24"/>
          <w:lang w:val="ru-RU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Part</w:t>
      </w:r>
      <w:r>
        <w:rPr>
          <w:rFonts w:ascii="Times New Roman" w:hAnsi="Times New Roman"/>
          <w:sz w:val="24"/>
          <w:szCs w:val="24"/>
          <w:lang w:val="ru-RU"/>
        </w:rPr>
        <w:t>: 301]. Вместе с этим Имогена становится той, кто витализирует всё вокруг себя: сочетая в себе множество мужских и женских функций, она способна балансировать между двумя гендерными началами, помогая мужским персонажам (в первую очередь мужу и отцу) одержать победу, восстановить семейную гармонию и спасти королевство.</w:t>
      </w:r>
    </w:p>
    <w:p w14:paraId="0BA402DA" w14:textId="2D7002DD" w:rsidR="00015A16" w:rsidRPr="00212138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Таким образом, феминистская критика второй половины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  <w:lang w:val="ru-RU"/>
        </w:rPr>
        <w:t xml:space="preserve"> в</w:t>
      </w:r>
      <w:r w:rsidR="001D0036">
        <w:rPr>
          <w:rFonts w:ascii="Times New Roman" w:hAnsi="Times New Roman"/>
          <w:sz w:val="24"/>
          <w:szCs w:val="24"/>
          <w:lang w:val="ru-RU"/>
        </w:rPr>
        <w:t>ека</w:t>
      </w:r>
      <w:r>
        <w:rPr>
          <w:rFonts w:ascii="Times New Roman" w:hAnsi="Times New Roman"/>
          <w:sz w:val="24"/>
          <w:szCs w:val="24"/>
          <w:lang w:val="ru-RU"/>
        </w:rPr>
        <w:t xml:space="preserve"> расставляет новые акценты, отвечает настроению эпохи и демонстрирует новый взгляд на так называемую «женскую часть» творчества Шекспира. Имогена, главная героиня шекспировской трагикомедии «Цимбелин», в сво</w:t>
      </w:r>
      <w:r w:rsidR="00653C63">
        <w:rPr>
          <w:rFonts w:ascii="Times New Roman" w:hAnsi="Times New Roman"/>
          <w:sz w:val="24"/>
          <w:szCs w:val="24"/>
          <w:lang w:val="ru-RU"/>
        </w:rPr>
        <w:t>ё</w:t>
      </w:r>
      <w:r>
        <w:rPr>
          <w:rFonts w:ascii="Times New Roman" w:hAnsi="Times New Roman"/>
          <w:sz w:val="24"/>
          <w:szCs w:val="24"/>
          <w:lang w:val="ru-RU"/>
        </w:rPr>
        <w:t>м образе соединяет ключевые направления феминистской критической мысли: она становится олицетворением борьбы мужского и женского начал, символом возрождения жизни, а также претендует на определ</w:t>
      </w:r>
      <w:r w:rsidR="003B1C80">
        <w:rPr>
          <w:rFonts w:ascii="Times New Roman" w:hAnsi="Times New Roman"/>
          <w:sz w:val="24"/>
          <w:szCs w:val="24"/>
          <w:lang w:val="ru-RU"/>
        </w:rPr>
        <w:t>ё</w:t>
      </w:r>
      <w:r>
        <w:rPr>
          <w:rFonts w:ascii="Times New Roman" w:hAnsi="Times New Roman"/>
          <w:sz w:val="24"/>
          <w:szCs w:val="24"/>
          <w:lang w:val="ru-RU"/>
        </w:rPr>
        <w:t>нного рода самостоятельность себя как персонажа.</w:t>
      </w:r>
    </w:p>
    <w:p w14:paraId="2E0E2D94" w14:textId="77777777" w:rsidR="00015A16" w:rsidRDefault="00000000">
      <w:pPr>
        <w:tabs>
          <w:tab w:val="left" w:pos="3968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Литература:</w:t>
      </w:r>
    </w:p>
    <w:p w14:paraId="70F74C12" w14:textId="7DD42A72" w:rsidR="00015A16" w:rsidRDefault="00000000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Shakespeare's Late Plays: New Readings / Ed. by Jennifer Richards and James Knowles. Edinburgh: Edinburgh UP, 1999.</w:t>
      </w:r>
    </w:p>
    <w:p w14:paraId="5A2E4F6A" w14:textId="4F6D53DF" w:rsidR="00015A16" w:rsidRDefault="00000000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Taylor, M. Shakespeare Criticism in the Twentieth Century. Oxford: Oxford UP, 2001.</w:t>
      </w:r>
    </w:p>
    <w:p w14:paraId="3DA97F88" w14:textId="417BA871" w:rsidR="00015A16" w:rsidRDefault="00000000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Woman's Part: Feminist Criticism of Shakespeare / Ed. by Carolyn Ruth Swift Lenz, etc. Urbana etc.: Illinois UP, 1980.</w:t>
      </w:r>
    </w:p>
    <w:sectPr w:rsidR="00015A16">
      <w:headerReference w:type="default" r:id="rId7"/>
      <w:footerReference w:type="default" r:id="rId8"/>
      <w:pgSz w:w="11900" w:h="16840"/>
      <w:pgMar w:top="1134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005B9" w14:textId="77777777" w:rsidR="00EB0E17" w:rsidRDefault="00EB0E17">
      <w:pPr>
        <w:spacing w:after="0" w:line="240" w:lineRule="auto"/>
      </w:pPr>
      <w:r>
        <w:separator/>
      </w:r>
    </w:p>
  </w:endnote>
  <w:endnote w:type="continuationSeparator" w:id="0">
    <w:p w14:paraId="7C1D1D7B" w14:textId="77777777" w:rsidR="00EB0E17" w:rsidRDefault="00EB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3BCD7" w14:textId="77777777" w:rsidR="00015A16" w:rsidRDefault="00015A1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C73B4" w14:textId="77777777" w:rsidR="00EB0E17" w:rsidRDefault="00EB0E17">
      <w:pPr>
        <w:spacing w:after="0" w:line="240" w:lineRule="auto"/>
      </w:pPr>
      <w:r>
        <w:separator/>
      </w:r>
    </w:p>
  </w:footnote>
  <w:footnote w:type="continuationSeparator" w:id="0">
    <w:p w14:paraId="062B25F9" w14:textId="77777777" w:rsidR="00EB0E17" w:rsidRDefault="00EB0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AA07B" w14:textId="77777777" w:rsidR="00015A16" w:rsidRDefault="00015A1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80C1D"/>
    <w:multiLevelType w:val="hybridMultilevel"/>
    <w:tmpl w:val="B300B428"/>
    <w:styleLink w:val="1"/>
    <w:lvl w:ilvl="0" w:tplc="0A70E2C4">
      <w:start w:val="1"/>
      <w:numFmt w:val="decimal"/>
      <w:lvlText w:val="%1."/>
      <w:lvlJc w:val="left"/>
      <w:pPr>
        <w:tabs>
          <w:tab w:val="left" w:pos="396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00C7E6">
      <w:start w:val="1"/>
      <w:numFmt w:val="lowerLetter"/>
      <w:lvlText w:val="%2."/>
      <w:lvlJc w:val="left"/>
      <w:pPr>
        <w:tabs>
          <w:tab w:val="left" w:pos="396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781AAC">
      <w:start w:val="1"/>
      <w:numFmt w:val="lowerRoman"/>
      <w:lvlText w:val="%3."/>
      <w:lvlJc w:val="left"/>
      <w:pPr>
        <w:tabs>
          <w:tab w:val="left" w:pos="3968"/>
        </w:tabs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168848">
      <w:start w:val="1"/>
      <w:numFmt w:val="decimal"/>
      <w:lvlText w:val="%4."/>
      <w:lvlJc w:val="left"/>
      <w:pPr>
        <w:tabs>
          <w:tab w:val="left" w:pos="396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208930">
      <w:start w:val="1"/>
      <w:numFmt w:val="lowerLetter"/>
      <w:lvlText w:val="%5."/>
      <w:lvlJc w:val="left"/>
      <w:pPr>
        <w:tabs>
          <w:tab w:val="left" w:pos="396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78FD94">
      <w:start w:val="1"/>
      <w:numFmt w:val="lowerRoman"/>
      <w:lvlText w:val="%6."/>
      <w:lvlJc w:val="left"/>
      <w:pPr>
        <w:tabs>
          <w:tab w:val="left" w:pos="3968"/>
        </w:tabs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C14BC">
      <w:start w:val="1"/>
      <w:numFmt w:val="decimal"/>
      <w:lvlText w:val="%7."/>
      <w:lvlJc w:val="left"/>
      <w:pPr>
        <w:tabs>
          <w:tab w:val="left" w:pos="396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F24BAE">
      <w:start w:val="1"/>
      <w:numFmt w:val="lowerLetter"/>
      <w:lvlText w:val="%8."/>
      <w:lvlJc w:val="left"/>
      <w:pPr>
        <w:tabs>
          <w:tab w:val="left" w:pos="396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225E74">
      <w:start w:val="1"/>
      <w:numFmt w:val="lowerRoman"/>
      <w:lvlText w:val="%9."/>
      <w:lvlJc w:val="left"/>
      <w:pPr>
        <w:tabs>
          <w:tab w:val="left" w:pos="3968"/>
        </w:tabs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9254834"/>
    <w:multiLevelType w:val="hybridMultilevel"/>
    <w:tmpl w:val="B300B428"/>
    <w:numStyleLink w:val="1"/>
  </w:abstractNum>
  <w:num w:numId="1" w16cid:durableId="304356353">
    <w:abstractNumId w:val="0"/>
  </w:num>
  <w:num w:numId="2" w16cid:durableId="1898277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A16"/>
    <w:rsid w:val="00015A16"/>
    <w:rsid w:val="000E61D3"/>
    <w:rsid w:val="001D0036"/>
    <w:rsid w:val="00203CD1"/>
    <w:rsid w:val="00212138"/>
    <w:rsid w:val="0028404E"/>
    <w:rsid w:val="00295B59"/>
    <w:rsid w:val="00361465"/>
    <w:rsid w:val="0039604A"/>
    <w:rsid w:val="003B1C80"/>
    <w:rsid w:val="00501507"/>
    <w:rsid w:val="00653C63"/>
    <w:rsid w:val="007B63E6"/>
    <w:rsid w:val="007D07E6"/>
    <w:rsid w:val="00870C77"/>
    <w:rsid w:val="008D5831"/>
    <w:rsid w:val="0098053D"/>
    <w:rsid w:val="009C7209"/>
    <w:rsid w:val="00A06560"/>
    <w:rsid w:val="00A84081"/>
    <w:rsid w:val="00A940D2"/>
    <w:rsid w:val="00C30048"/>
    <w:rsid w:val="00C6077C"/>
    <w:rsid w:val="00CA4B93"/>
    <w:rsid w:val="00CE46CB"/>
    <w:rsid w:val="00D157B8"/>
    <w:rsid w:val="00D244C3"/>
    <w:rsid w:val="00D96C2D"/>
    <w:rsid w:val="00E330AC"/>
    <w:rsid w:val="00E520E8"/>
    <w:rsid w:val="00E97128"/>
    <w:rsid w:val="00EB0E17"/>
    <w:rsid w:val="00EC277D"/>
    <w:rsid w:val="00F2397A"/>
    <w:rsid w:val="00FD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7303"/>
  <w15:docId w15:val="{7CFD0458-6EE6-466F-91B3-59C72AEA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Aptos" w:eastAsia="Aptos" w:hAnsi="Aptos" w:cs="Aptos"/>
      <w:color w:val="000000"/>
      <w:kern w:val="2"/>
      <w:sz w:val="22"/>
      <w:szCs w:val="22"/>
      <w:u w:color="000000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spacing w:after="160" w:line="259" w:lineRule="auto"/>
      <w:ind w:left="720"/>
    </w:pPr>
    <w:rPr>
      <w:rFonts w:ascii="Aptos" w:eastAsia="Aptos" w:hAnsi="Aptos" w:cs="Aptos"/>
      <w:color w:val="000000"/>
      <w:kern w:val="2"/>
      <w:sz w:val="22"/>
      <w:szCs w:val="22"/>
      <w:u w:color="000000"/>
      <w:lang w:val="de-DE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Aptos" w:eastAsia="Aptos" w:hAnsi="Aptos" w:cs="Aptos"/>
      <w:color w:val="000000"/>
      <w:kern w:val="2"/>
      <w:u w:color="000000"/>
      <w:lang w:val="de-DE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Revision"/>
    <w:hidden/>
    <w:uiPriority w:val="99"/>
    <w:semiHidden/>
    <w:rsid w:val="00212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ptos" w:eastAsia="Aptos" w:hAnsi="Aptos" w:cs="Aptos"/>
      <w:color w:val="000000"/>
      <w:kern w:val="2"/>
      <w:sz w:val="22"/>
      <w:szCs w:val="22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759</Words>
  <Characters>5137</Characters>
  <Application>Microsoft Office Word</Application>
  <DocSecurity>0</DocSecurity>
  <Lines>81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Елизавета Самойлова</cp:lastModifiedBy>
  <cp:revision>24</cp:revision>
  <dcterms:created xsi:type="dcterms:W3CDTF">2025-02-28T10:42:00Z</dcterms:created>
  <dcterms:modified xsi:type="dcterms:W3CDTF">2025-03-01T20:00:00Z</dcterms:modified>
</cp:coreProperties>
</file>