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FA22" w14:textId="77777777" w:rsidR="00231C63" w:rsidRPr="00D94446" w:rsidRDefault="00231C63" w:rsidP="00DB70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446">
        <w:rPr>
          <w:rFonts w:ascii="Times New Roman" w:hAnsi="Times New Roman" w:cs="Times New Roman"/>
          <w:b/>
          <w:bCs/>
          <w:sz w:val="24"/>
          <w:szCs w:val="24"/>
        </w:rPr>
        <w:t>Фольклорные образы в творчестве группы «Сектор Газа»</w:t>
      </w:r>
    </w:p>
    <w:p w14:paraId="139662FD" w14:textId="6B56B366" w:rsidR="00231C63" w:rsidRPr="00D94446" w:rsidRDefault="00231C63" w:rsidP="00DB7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46">
        <w:rPr>
          <w:rStyle w:val="a4"/>
          <w:rFonts w:ascii="Times New Roman" w:hAnsi="Times New Roman" w:cs="Times New Roman"/>
          <w:sz w:val="24"/>
          <w:szCs w:val="24"/>
        </w:rPr>
        <w:t>Барбаринский Григорий Петрович</w:t>
      </w:r>
    </w:p>
    <w:p w14:paraId="6170D16C" w14:textId="656AF4A2" w:rsidR="00231C63" w:rsidRPr="00D94446" w:rsidRDefault="00231C63" w:rsidP="005474B0">
      <w:pPr>
        <w:pStyle w:val="a3"/>
        <w:jc w:val="both"/>
      </w:pPr>
      <w:r w:rsidRPr="00D94446">
        <w:rPr>
          <w:rStyle w:val="a5"/>
          <w:i w:val="0"/>
          <w:iCs w:val="0"/>
        </w:rPr>
        <w:t>Студент</w:t>
      </w:r>
      <w:r w:rsidR="00DB70AC">
        <w:t xml:space="preserve"> </w:t>
      </w:r>
      <w:r w:rsidRPr="00D94446">
        <w:t>Российск</w:t>
      </w:r>
      <w:r w:rsidR="00DB70AC">
        <w:t>ой</w:t>
      </w:r>
      <w:r w:rsidRPr="00D94446">
        <w:t xml:space="preserve"> академи</w:t>
      </w:r>
      <w:r w:rsidR="00DB70AC">
        <w:t>и</w:t>
      </w:r>
      <w:r w:rsidRPr="00D94446">
        <w:t xml:space="preserve"> народного хозяйства и государственной службы при Президенте Российской Федерации (</w:t>
      </w:r>
      <w:r w:rsidRPr="00D94446">
        <w:rPr>
          <w:rStyle w:val="a5"/>
          <w:i w:val="0"/>
          <w:iCs w:val="0"/>
        </w:rPr>
        <w:t>РАНХиГС</w:t>
      </w:r>
      <w:r w:rsidRPr="00D94446">
        <w:t>)</w:t>
      </w:r>
      <w:r w:rsidR="00DB70AC">
        <w:t xml:space="preserve">, </w:t>
      </w:r>
      <w:r w:rsidRPr="00D94446">
        <w:rPr>
          <w:rStyle w:val="a5"/>
          <w:i w:val="0"/>
          <w:iCs w:val="0"/>
        </w:rPr>
        <w:t>Москва, Россия</w:t>
      </w:r>
    </w:p>
    <w:p w14:paraId="401F1385" w14:textId="72D6C9A6" w:rsidR="00231C63" w:rsidRPr="00D94446" w:rsidRDefault="00231C63" w:rsidP="00DB70AC">
      <w:pPr>
        <w:pStyle w:val="a3"/>
        <w:jc w:val="both"/>
      </w:pPr>
      <w:r w:rsidRPr="00D94446">
        <w:rPr>
          <w:rStyle w:val="a5"/>
          <w:i w:val="0"/>
          <w:iCs w:val="0"/>
          <w:lang w:val="de-DE"/>
        </w:rPr>
        <w:t>E</w:t>
      </w:r>
      <w:r w:rsidRPr="00D94446">
        <w:rPr>
          <w:rStyle w:val="a5"/>
          <w:i w:val="0"/>
          <w:iCs w:val="0"/>
        </w:rPr>
        <w:t>–</w:t>
      </w:r>
      <w:r w:rsidRPr="00D94446">
        <w:rPr>
          <w:rStyle w:val="a5"/>
          <w:i w:val="0"/>
          <w:iCs w:val="0"/>
          <w:lang w:val="de-DE"/>
        </w:rPr>
        <w:t>mail</w:t>
      </w:r>
      <w:r w:rsidRPr="00D94446">
        <w:rPr>
          <w:rStyle w:val="a5"/>
          <w:i w:val="0"/>
          <w:iCs w:val="0"/>
        </w:rPr>
        <w:t xml:space="preserve">: </w:t>
      </w:r>
      <w:proofErr w:type="spellStart"/>
      <w:r w:rsidRPr="00D94446">
        <w:rPr>
          <w:rStyle w:val="a5"/>
          <w:i w:val="0"/>
          <w:iCs w:val="0"/>
          <w:lang w:val="de-DE"/>
        </w:rPr>
        <w:t>barbarinsky</w:t>
      </w:r>
      <w:proofErr w:type="spellEnd"/>
      <w:r w:rsidRPr="00D94446">
        <w:rPr>
          <w:rStyle w:val="a5"/>
          <w:i w:val="0"/>
          <w:iCs w:val="0"/>
        </w:rPr>
        <w:t>@</w:t>
      </w:r>
      <w:proofErr w:type="spellStart"/>
      <w:r w:rsidRPr="00D94446">
        <w:rPr>
          <w:rStyle w:val="a5"/>
          <w:i w:val="0"/>
          <w:iCs w:val="0"/>
          <w:lang w:val="de-DE"/>
        </w:rPr>
        <w:t>yandex</w:t>
      </w:r>
      <w:proofErr w:type="spellEnd"/>
      <w:r w:rsidRPr="00D94446">
        <w:rPr>
          <w:rStyle w:val="a5"/>
          <w:i w:val="0"/>
          <w:iCs w:val="0"/>
        </w:rPr>
        <w:t>.</w:t>
      </w:r>
      <w:proofErr w:type="spellStart"/>
      <w:r w:rsidRPr="00D94446">
        <w:rPr>
          <w:rStyle w:val="a5"/>
          <w:i w:val="0"/>
          <w:iCs w:val="0"/>
          <w:lang w:val="de-DE"/>
        </w:rPr>
        <w:t>ru</w:t>
      </w:r>
      <w:proofErr w:type="spellEnd"/>
    </w:p>
    <w:p w14:paraId="09852219" w14:textId="37FCCDD4" w:rsidR="00D94446" w:rsidRDefault="00231C63" w:rsidP="00DB70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46">
        <w:rPr>
          <w:rFonts w:ascii="Times New Roman" w:hAnsi="Times New Roman" w:cs="Times New Roman"/>
          <w:bCs/>
          <w:sz w:val="24"/>
          <w:szCs w:val="24"/>
        </w:rPr>
        <w:t xml:space="preserve">Доклад посвящен исследованию </w:t>
      </w:r>
      <w:r w:rsidRPr="00D94446">
        <w:rPr>
          <w:rFonts w:ascii="Times New Roman" w:hAnsi="Times New Roman" w:cs="Times New Roman"/>
          <w:sz w:val="24"/>
          <w:szCs w:val="24"/>
        </w:rPr>
        <w:t>фольклорных элементов, а именно сюжетных и мотивных заимствований в творчестве группы «Сектор Газа», а именно в песнях группы, написанных и изданных в период существования группы с 1987 по 2000 годы.</w:t>
      </w:r>
      <w:r w:rsidRPr="00D944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4446">
        <w:rPr>
          <w:rFonts w:ascii="Times New Roman" w:hAnsi="Times New Roman" w:cs="Times New Roman"/>
          <w:sz w:val="24"/>
          <w:szCs w:val="24"/>
        </w:rPr>
        <w:t>Основной целью данной работы является выявление принципов, по которым фольклорный материал использовался и осмыслялся Юрием Клинских и группой «Сектор Газа» при создании текстов своих песен. Также была поставлена задача выяснить, какие именно фольклорные сюжеты и мотивы отражены в творчестве группы. Выявление фольклорных заимствований было проведено методом сюжетно-мотивного анализа с использованием такого исследовательского инструмента, как указатели фольклорных сюжетов и мотивов, в частности указателей Томпсона и Андреева. Новизна работы заключается в первую очередь отсутствием научных работ, целиком посвященных изучению этого аспекта творчества группы «Сектор Газа», а также малым количеством работ, посвященных непосредственно поэтике текстов Юрия Клинских.</w:t>
      </w:r>
    </w:p>
    <w:p w14:paraId="311A84DA" w14:textId="5DAE9F28" w:rsidR="00231C63" w:rsidRPr="00D94446" w:rsidRDefault="00231C63" w:rsidP="00DB70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46">
        <w:rPr>
          <w:rFonts w:ascii="Times New Roman" w:hAnsi="Times New Roman" w:cs="Times New Roman"/>
          <w:sz w:val="24"/>
          <w:szCs w:val="24"/>
        </w:rPr>
        <w:t>Проведенное исследование позволило выяснить, как</w:t>
      </w:r>
      <w:r w:rsidR="005474B0">
        <w:rPr>
          <w:rFonts w:ascii="Times New Roman" w:hAnsi="Times New Roman" w:cs="Times New Roman"/>
          <w:sz w:val="24"/>
          <w:szCs w:val="24"/>
        </w:rPr>
        <w:t xml:space="preserve"> именно</w:t>
      </w:r>
      <w:r w:rsidRPr="00D94446">
        <w:rPr>
          <w:rFonts w:ascii="Times New Roman" w:hAnsi="Times New Roman" w:cs="Times New Roman"/>
          <w:sz w:val="24"/>
          <w:szCs w:val="24"/>
        </w:rPr>
        <w:t xml:space="preserve"> фольклор осмысляется в творчестве группы «Сектор Газа». В текстах песен встречаются как сюжетные и структурные, так и мотивные и текстуальные заимствования из конкретных произведений народного творчества</w:t>
      </w:r>
      <w:r w:rsidR="000C4064">
        <w:rPr>
          <w:rFonts w:ascii="Times New Roman" w:hAnsi="Times New Roman" w:cs="Times New Roman"/>
          <w:sz w:val="24"/>
          <w:szCs w:val="24"/>
        </w:rPr>
        <w:t>. Так, например,</w:t>
      </w:r>
      <w:r w:rsidR="005474B0">
        <w:rPr>
          <w:rFonts w:ascii="Times New Roman" w:hAnsi="Times New Roman" w:cs="Times New Roman"/>
          <w:sz w:val="24"/>
          <w:szCs w:val="24"/>
        </w:rPr>
        <w:t xml:space="preserve"> для создания альбома «Кащей Бессмертный»</w:t>
      </w:r>
      <w:r w:rsidR="000C4064">
        <w:rPr>
          <w:rFonts w:ascii="Times New Roman" w:hAnsi="Times New Roman" w:cs="Times New Roman"/>
          <w:sz w:val="24"/>
          <w:szCs w:val="24"/>
        </w:rPr>
        <w:t xml:space="preserve"> был использован</w:t>
      </w:r>
      <w:r w:rsidR="005474B0">
        <w:rPr>
          <w:rFonts w:ascii="Times New Roman" w:hAnsi="Times New Roman" w:cs="Times New Roman"/>
          <w:sz w:val="24"/>
          <w:szCs w:val="24"/>
        </w:rPr>
        <w:t xml:space="preserve"> сюжет</w:t>
      </w:r>
      <w:r w:rsidR="000C4064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5474B0">
        <w:rPr>
          <w:rFonts w:ascii="Times New Roman" w:hAnsi="Times New Roman" w:cs="Times New Roman"/>
          <w:sz w:val="24"/>
          <w:szCs w:val="24"/>
        </w:rPr>
        <w:t>и</w:t>
      </w:r>
      <w:r w:rsidR="000C4064">
        <w:rPr>
          <w:rFonts w:ascii="Times New Roman" w:hAnsi="Times New Roman" w:cs="Times New Roman"/>
          <w:sz w:val="24"/>
          <w:szCs w:val="24"/>
        </w:rPr>
        <w:t xml:space="preserve"> «Царевна-лягушка» </w:t>
      </w:r>
      <w:r w:rsidR="000C4064" w:rsidRPr="00D94446">
        <w:rPr>
          <w:rFonts w:ascii="Times New Roman" w:hAnsi="Times New Roman" w:cs="Times New Roman"/>
          <w:sz w:val="24"/>
          <w:szCs w:val="24"/>
        </w:rPr>
        <w:t>[</w:t>
      </w:r>
      <w:r w:rsidR="000C4064">
        <w:rPr>
          <w:rFonts w:ascii="Times New Roman" w:hAnsi="Times New Roman" w:cs="Times New Roman"/>
          <w:sz w:val="24"/>
          <w:szCs w:val="24"/>
        </w:rPr>
        <w:t>Андреев</w:t>
      </w:r>
      <w:r w:rsidR="000C4064">
        <w:rPr>
          <w:rFonts w:ascii="Times New Roman" w:hAnsi="Times New Roman" w:cs="Times New Roman"/>
          <w:sz w:val="24"/>
          <w:szCs w:val="24"/>
        </w:rPr>
        <w:t xml:space="preserve">: </w:t>
      </w:r>
      <w:r w:rsidR="000C4064">
        <w:rPr>
          <w:rFonts w:ascii="Times New Roman" w:hAnsi="Times New Roman" w:cs="Times New Roman"/>
          <w:sz w:val="24"/>
          <w:szCs w:val="24"/>
        </w:rPr>
        <w:t>32</w:t>
      </w:r>
      <w:r w:rsidR="000C4064" w:rsidRPr="00D94446">
        <w:rPr>
          <w:rFonts w:ascii="Times New Roman" w:hAnsi="Times New Roman" w:cs="Times New Roman"/>
          <w:sz w:val="24"/>
          <w:szCs w:val="24"/>
        </w:rPr>
        <w:t>]</w:t>
      </w:r>
      <w:r w:rsidRPr="00D94446">
        <w:rPr>
          <w:rFonts w:ascii="Times New Roman" w:hAnsi="Times New Roman" w:cs="Times New Roman"/>
          <w:sz w:val="24"/>
          <w:szCs w:val="24"/>
        </w:rPr>
        <w:t>. При этом фольклор в творчестве «Сектора Газа» используется вольно и часто переосмысляется, преподносится в пародийном, ироническом ключе</w:t>
      </w:r>
      <w:r w:rsidR="00D94446" w:rsidRPr="00D94446">
        <w:rPr>
          <w:rFonts w:ascii="Times New Roman" w:hAnsi="Times New Roman" w:cs="Times New Roman"/>
          <w:sz w:val="24"/>
          <w:szCs w:val="24"/>
        </w:rPr>
        <w:t>, что соотносится с традицией пародийной поэзии вообще</w:t>
      </w:r>
      <w:r w:rsidR="005D709A">
        <w:rPr>
          <w:rFonts w:ascii="Times New Roman" w:hAnsi="Times New Roman" w:cs="Times New Roman"/>
          <w:sz w:val="24"/>
          <w:szCs w:val="24"/>
        </w:rPr>
        <w:t xml:space="preserve"> </w:t>
      </w:r>
      <w:r w:rsidR="005D709A" w:rsidRPr="005D709A">
        <w:rPr>
          <w:rFonts w:ascii="Times New Roman" w:hAnsi="Times New Roman" w:cs="Times New Roman"/>
          <w:sz w:val="24"/>
          <w:szCs w:val="24"/>
        </w:rPr>
        <w:t>[</w:t>
      </w:r>
      <w:r w:rsidR="00A65E06">
        <w:rPr>
          <w:rFonts w:ascii="Times New Roman" w:hAnsi="Times New Roman" w:cs="Times New Roman"/>
          <w:sz w:val="24"/>
          <w:szCs w:val="24"/>
        </w:rPr>
        <w:t>Тынянов: 291</w:t>
      </w:r>
      <w:r w:rsidR="00A65E06" w:rsidRPr="008E0D6A">
        <w:rPr>
          <w:rFonts w:ascii="Times New Roman" w:hAnsi="Times New Roman" w:cs="Times New Roman"/>
          <w:sz w:val="24"/>
          <w:szCs w:val="24"/>
        </w:rPr>
        <w:t>–</w:t>
      </w:r>
      <w:r w:rsidR="00A65E06">
        <w:rPr>
          <w:rFonts w:ascii="Times New Roman" w:hAnsi="Times New Roman" w:cs="Times New Roman"/>
          <w:sz w:val="24"/>
          <w:szCs w:val="24"/>
        </w:rPr>
        <w:t>294</w:t>
      </w:r>
      <w:r w:rsidR="005D709A" w:rsidRPr="005D709A">
        <w:rPr>
          <w:rFonts w:ascii="Times New Roman" w:hAnsi="Times New Roman" w:cs="Times New Roman"/>
          <w:sz w:val="24"/>
          <w:szCs w:val="24"/>
        </w:rPr>
        <w:t>]</w:t>
      </w:r>
      <w:r w:rsidR="00D94446" w:rsidRPr="00D94446">
        <w:rPr>
          <w:rFonts w:ascii="Times New Roman" w:hAnsi="Times New Roman" w:cs="Times New Roman"/>
          <w:sz w:val="24"/>
          <w:szCs w:val="24"/>
        </w:rPr>
        <w:t xml:space="preserve">, </w:t>
      </w:r>
      <w:r w:rsidR="00C24A22" w:rsidRPr="00D94446">
        <w:rPr>
          <w:rFonts w:ascii="Times New Roman" w:hAnsi="Times New Roman" w:cs="Times New Roman"/>
          <w:sz w:val="24"/>
          <w:szCs w:val="24"/>
        </w:rPr>
        <w:t>а в частности</w:t>
      </w:r>
      <w:r w:rsidR="00C24A22">
        <w:rPr>
          <w:rFonts w:ascii="Times New Roman" w:hAnsi="Times New Roman" w:cs="Times New Roman"/>
          <w:sz w:val="24"/>
          <w:szCs w:val="24"/>
        </w:rPr>
        <w:t xml:space="preserve"> с традицией высмеивания сакрального</w:t>
      </w:r>
      <w:r w:rsidR="00C24A22">
        <w:rPr>
          <w:rFonts w:ascii="Times New Roman" w:hAnsi="Times New Roman" w:cs="Times New Roman"/>
          <w:sz w:val="24"/>
          <w:szCs w:val="24"/>
        </w:rPr>
        <w:t xml:space="preserve">. </w:t>
      </w:r>
      <w:r w:rsidR="00C24A22">
        <w:rPr>
          <w:rFonts w:ascii="Times New Roman" w:hAnsi="Times New Roman" w:cs="Times New Roman"/>
          <w:sz w:val="24"/>
          <w:szCs w:val="24"/>
        </w:rPr>
        <w:t>Сам Юрий Клинских говорил</w:t>
      </w:r>
      <w:r w:rsidR="00C24A22">
        <w:rPr>
          <w:rFonts w:ascii="Times New Roman" w:hAnsi="Times New Roman" w:cs="Times New Roman"/>
          <w:sz w:val="24"/>
          <w:szCs w:val="24"/>
        </w:rPr>
        <w:t>, что стремился высмеять «насаждаемую сверху культуру»</w:t>
      </w:r>
      <w:r w:rsidR="00C24A22" w:rsidRPr="00C24A22">
        <w:rPr>
          <w:rFonts w:ascii="Times New Roman" w:hAnsi="Times New Roman" w:cs="Times New Roman"/>
          <w:sz w:val="24"/>
          <w:szCs w:val="24"/>
        </w:rPr>
        <w:t xml:space="preserve"> </w:t>
      </w:r>
      <w:r w:rsidR="00C24A22" w:rsidRPr="00D94446">
        <w:rPr>
          <w:rFonts w:ascii="Times New Roman" w:hAnsi="Times New Roman" w:cs="Times New Roman"/>
          <w:sz w:val="24"/>
          <w:szCs w:val="24"/>
        </w:rPr>
        <w:t>[</w:t>
      </w:r>
      <w:r w:rsidR="00C24A22">
        <w:rPr>
          <w:rFonts w:ascii="Times New Roman" w:hAnsi="Times New Roman" w:cs="Times New Roman"/>
          <w:sz w:val="24"/>
          <w:szCs w:val="24"/>
        </w:rPr>
        <w:t>Курбанов: 130</w:t>
      </w:r>
      <w:r w:rsidR="00C24A22" w:rsidRPr="00D94446">
        <w:rPr>
          <w:rFonts w:ascii="Times New Roman" w:hAnsi="Times New Roman" w:cs="Times New Roman"/>
          <w:sz w:val="24"/>
          <w:szCs w:val="24"/>
        </w:rPr>
        <w:t>]</w:t>
      </w:r>
      <w:r w:rsidR="00C24A22">
        <w:rPr>
          <w:rFonts w:ascii="Times New Roman" w:hAnsi="Times New Roman" w:cs="Times New Roman"/>
          <w:sz w:val="24"/>
          <w:szCs w:val="24"/>
        </w:rPr>
        <w:t>. Можно провести параллель со</w:t>
      </w:r>
      <w:r w:rsidR="00D94446" w:rsidRPr="00D94446">
        <w:rPr>
          <w:rFonts w:ascii="Times New Roman" w:hAnsi="Times New Roman" w:cs="Times New Roman"/>
          <w:sz w:val="24"/>
          <w:szCs w:val="24"/>
        </w:rPr>
        <w:t xml:space="preserve"> школьной пароди</w:t>
      </w:r>
      <w:r w:rsidR="00C24A22">
        <w:rPr>
          <w:rFonts w:ascii="Times New Roman" w:hAnsi="Times New Roman" w:cs="Times New Roman"/>
          <w:sz w:val="24"/>
          <w:szCs w:val="24"/>
        </w:rPr>
        <w:t>ей, для которой «сакральным» стали тексты школьной программы</w:t>
      </w:r>
      <w:r w:rsidR="00D94446" w:rsidRPr="00D94446">
        <w:rPr>
          <w:rFonts w:ascii="Times New Roman" w:hAnsi="Times New Roman" w:cs="Times New Roman"/>
          <w:sz w:val="24"/>
          <w:szCs w:val="24"/>
        </w:rPr>
        <w:t xml:space="preserve"> [</w:t>
      </w:r>
      <w:r w:rsidR="008E0D6A">
        <w:rPr>
          <w:rFonts w:ascii="Times New Roman" w:hAnsi="Times New Roman" w:cs="Times New Roman"/>
          <w:sz w:val="24"/>
          <w:szCs w:val="24"/>
        </w:rPr>
        <w:t>Лурье</w:t>
      </w:r>
      <w:r w:rsidR="005D709A">
        <w:rPr>
          <w:rFonts w:ascii="Times New Roman" w:hAnsi="Times New Roman" w:cs="Times New Roman"/>
          <w:sz w:val="24"/>
          <w:szCs w:val="24"/>
        </w:rPr>
        <w:t>:</w:t>
      </w:r>
      <w:r w:rsidR="008E0D6A">
        <w:rPr>
          <w:rFonts w:ascii="Times New Roman" w:hAnsi="Times New Roman" w:cs="Times New Roman"/>
          <w:sz w:val="24"/>
          <w:szCs w:val="24"/>
        </w:rPr>
        <w:t xml:space="preserve"> 430</w:t>
      </w:r>
      <w:r w:rsidR="008E0D6A" w:rsidRPr="008E0D6A">
        <w:rPr>
          <w:rFonts w:ascii="Times New Roman" w:hAnsi="Times New Roman" w:cs="Times New Roman"/>
          <w:sz w:val="24"/>
          <w:szCs w:val="24"/>
        </w:rPr>
        <w:t>–</w:t>
      </w:r>
      <w:r w:rsidR="008E0D6A">
        <w:rPr>
          <w:rFonts w:ascii="Times New Roman" w:hAnsi="Times New Roman" w:cs="Times New Roman"/>
          <w:sz w:val="24"/>
          <w:szCs w:val="24"/>
        </w:rPr>
        <w:t>434</w:t>
      </w:r>
      <w:r w:rsidR="00D94446" w:rsidRPr="00D94446">
        <w:rPr>
          <w:rFonts w:ascii="Times New Roman" w:hAnsi="Times New Roman" w:cs="Times New Roman"/>
          <w:sz w:val="24"/>
          <w:szCs w:val="24"/>
        </w:rPr>
        <w:t>].</w:t>
      </w:r>
      <w:r w:rsidR="00C24A22">
        <w:rPr>
          <w:rFonts w:ascii="Times New Roman" w:hAnsi="Times New Roman" w:cs="Times New Roman"/>
          <w:sz w:val="24"/>
          <w:szCs w:val="24"/>
        </w:rPr>
        <w:t>,</w:t>
      </w:r>
      <w:r w:rsidRPr="00D94446">
        <w:rPr>
          <w:rFonts w:ascii="Times New Roman" w:hAnsi="Times New Roman" w:cs="Times New Roman"/>
          <w:sz w:val="24"/>
          <w:szCs w:val="24"/>
        </w:rPr>
        <w:t xml:space="preserve"> </w:t>
      </w:r>
      <w:r w:rsidR="00D94446" w:rsidRPr="00D94446">
        <w:rPr>
          <w:rFonts w:ascii="Times New Roman" w:hAnsi="Times New Roman" w:cs="Times New Roman"/>
          <w:sz w:val="24"/>
          <w:szCs w:val="24"/>
        </w:rPr>
        <w:t>Значительное влияние также оказала советская авторская песня, часто использовавшая или переосмыслявшая фольклорные элементы</w:t>
      </w:r>
      <w:r w:rsidR="008E0D6A">
        <w:rPr>
          <w:rFonts w:ascii="Times New Roman" w:hAnsi="Times New Roman" w:cs="Times New Roman"/>
          <w:sz w:val="24"/>
          <w:szCs w:val="24"/>
        </w:rPr>
        <w:t xml:space="preserve">, а также другие исполнители русского рока, в частности относящиеся к «сибирскому панку» </w:t>
      </w:r>
      <w:r w:rsidR="008E0D6A" w:rsidRPr="00D94446">
        <w:rPr>
          <w:rFonts w:ascii="Times New Roman" w:hAnsi="Times New Roman" w:cs="Times New Roman"/>
          <w:sz w:val="24"/>
          <w:szCs w:val="24"/>
        </w:rPr>
        <w:t>[</w:t>
      </w:r>
      <w:r w:rsidR="005D709A">
        <w:rPr>
          <w:rFonts w:ascii="Times New Roman" w:hAnsi="Times New Roman" w:cs="Times New Roman"/>
          <w:sz w:val="24"/>
          <w:szCs w:val="24"/>
        </w:rPr>
        <w:t>Кормильцев, Сурова: 29</w:t>
      </w:r>
      <w:r w:rsidR="005D709A" w:rsidRPr="008E0D6A">
        <w:rPr>
          <w:rFonts w:ascii="Times New Roman" w:hAnsi="Times New Roman" w:cs="Times New Roman"/>
          <w:sz w:val="24"/>
          <w:szCs w:val="24"/>
        </w:rPr>
        <w:t>–</w:t>
      </w:r>
      <w:r w:rsidR="005D709A">
        <w:rPr>
          <w:rFonts w:ascii="Times New Roman" w:hAnsi="Times New Roman" w:cs="Times New Roman"/>
          <w:sz w:val="24"/>
          <w:szCs w:val="24"/>
        </w:rPr>
        <w:t>31</w:t>
      </w:r>
      <w:r w:rsidR="008E0D6A" w:rsidRPr="00D94446">
        <w:rPr>
          <w:rFonts w:ascii="Times New Roman" w:hAnsi="Times New Roman" w:cs="Times New Roman"/>
          <w:sz w:val="24"/>
          <w:szCs w:val="24"/>
        </w:rPr>
        <w:t>]</w:t>
      </w:r>
      <w:r w:rsidR="00D94446" w:rsidRPr="00D94446">
        <w:rPr>
          <w:rFonts w:ascii="Times New Roman" w:hAnsi="Times New Roman" w:cs="Times New Roman"/>
          <w:sz w:val="24"/>
          <w:szCs w:val="24"/>
        </w:rPr>
        <w:t xml:space="preserve">. </w:t>
      </w:r>
      <w:r w:rsidR="00133E56">
        <w:rPr>
          <w:rFonts w:ascii="Times New Roman" w:hAnsi="Times New Roman" w:cs="Times New Roman"/>
          <w:sz w:val="24"/>
          <w:szCs w:val="24"/>
        </w:rPr>
        <w:t xml:space="preserve">Встречаются и прямые заимствования из фольклора </w:t>
      </w:r>
      <w:r w:rsidR="00133E56" w:rsidRPr="008E0D6A">
        <w:rPr>
          <w:rFonts w:ascii="Times New Roman" w:hAnsi="Times New Roman" w:cs="Times New Roman"/>
          <w:sz w:val="24"/>
          <w:szCs w:val="24"/>
        </w:rPr>
        <w:t>–</w:t>
      </w:r>
      <w:r w:rsidR="00133E56">
        <w:rPr>
          <w:rFonts w:ascii="Times New Roman" w:hAnsi="Times New Roman" w:cs="Times New Roman"/>
          <w:sz w:val="24"/>
          <w:szCs w:val="24"/>
        </w:rPr>
        <w:t xml:space="preserve"> н</w:t>
      </w:r>
      <w:r w:rsidRPr="00D94446">
        <w:rPr>
          <w:rFonts w:ascii="Times New Roman" w:hAnsi="Times New Roman" w:cs="Times New Roman"/>
          <w:sz w:val="24"/>
          <w:szCs w:val="24"/>
        </w:rPr>
        <w:t>екоторые песни включают в своей текст произведения малых фольклорных жанров, таких как частушка.</w:t>
      </w:r>
    </w:p>
    <w:p w14:paraId="2F67903B" w14:textId="77777777" w:rsidR="00231C63" w:rsidRPr="00D94446" w:rsidRDefault="00231C63" w:rsidP="00DB70AC">
      <w:pPr>
        <w:pStyle w:val="a3"/>
        <w:jc w:val="both"/>
      </w:pPr>
      <w:r w:rsidRPr="00D94446">
        <w:rPr>
          <w:rStyle w:val="a4"/>
        </w:rPr>
        <w:t>Литература</w:t>
      </w:r>
    </w:p>
    <w:p w14:paraId="249A4C43" w14:textId="54A7F066" w:rsidR="00D94446" w:rsidRPr="005D709A" w:rsidRDefault="00D94446" w:rsidP="00DB70A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9A">
        <w:rPr>
          <w:rFonts w:ascii="Times New Roman" w:hAnsi="Times New Roman" w:cs="Times New Roman"/>
          <w:sz w:val="24"/>
          <w:szCs w:val="24"/>
        </w:rPr>
        <w:t xml:space="preserve">Андреев Н. П. Указатель сказочных сюжетов по системе </w:t>
      </w:r>
      <w:proofErr w:type="spellStart"/>
      <w:r w:rsidRPr="005D709A">
        <w:rPr>
          <w:rFonts w:ascii="Times New Roman" w:hAnsi="Times New Roman" w:cs="Times New Roman"/>
          <w:sz w:val="24"/>
          <w:szCs w:val="24"/>
        </w:rPr>
        <w:t>Аарне</w:t>
      </w:r>
      <w:proofErr w:type="spellEnd"/>
      <w:r w:rsidR="008E0D6A" w:rsidRPr="005D709A">
        <w:rPr>
          <w:rFonts w:ascii="Times New Roman" w:hAnsi="Times New Roman" w:cs="Times New Roman"/>
          <w:sz w:val="24"/>
          <w:szCs w:val="24"/>
        </w:rPr>
        <w:t>.</w:t>
      </w:r>
      <w:r w:rsidRPr="005D709A">
        <w:rPr>
          <w:rFonts w:ascii="Times New Roman" w:hAnsi="Times New Roman" w:cs="Times New Roman"/>
          <w:sz w:val="24"/>
          <w:szCs w:val="24"/>
        </w:rPr>
        <w:t xml:space="preserve"> Л</w:t>
      </w:r>
      <w:r w:rsidR="008E0D6A" w:rsidRPr="005D709A">
        <w:rPr>
          <w:rFonts w:ascii="Times New Roman" w:hAnsi="Times New Roman" w:cs="Times New Roman"/>
          <w:sz w:val="24"/>
          <w:szCs w:val="24"/>
        </w:rPr>
        <w:t>.</w:t>
      </w:r>
      <w:r w:rsidRPr="005D709A">
        <w:rPr>
          <w:rFonts w:ascii="Times New Roman" w:hAnsi="Times New Roman" w:cs="Times New Roman"/>
          <w:sz w:val="24"/>
          <w:szCs w:val="24"/>
        </w:rPr>
        <w:t>, 1929.</w:t>
      </w:r>
    </w:p>
    <w:p w14:paraId="463A208D" w14:textId="6730FE94" w:rsidR="00D94446" w:rsidRPr="005D709A" w:rsidRDefault="00D94446" w:rsidP="00DB70A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9A">
        <w:rPr>
          <w:rFonts w:ascii="Times New Roman" w:hAnsi="Times New Roman" w:cs="Times New Roman"/>
          <w:sz w:val="24"/>
          <w:szCs w:val="24"/>
        </w:rPr>
        <w:t>Курбанов А. Говорит Хой: Прямая речь Юрия Клинских</w:t>
      </w:r>
      <w:r w:rsidR="008E0D6A" w:rsidRPr="005D709A">
        <w:rPr>
          <w:rFonts w:ascii="Times New Roman" w:hAnsi="Times New Roman" w:cs="Times New Roman"/>
          <w:sz w:val="24"/>
          <w:szCs w:val="24"/>
        </w:rPr>
        <w:t>.</w:t>
      </w:r>
      <w:r w:rsidRPr="005D709A">
        <w:rPr>
          <w:rFonts w:ascii="Times New Roman" w:hAnsi="Times New Roman" w:cs="Times New Roman"/>
          <w:sz w:val="24"/>
          <w:szCs w:val="24"/>
        </w:rPr>
        <w:t xml:space="preserve"> Москва: [Б. и.], 2015.</w:t>
      </w:r>
    </w:p>
    <w:p w14:paraId="3EFF9C43" w14:textId="19EB8C69" w:rsidR="00D94446" w:rsidRPr="005D709A" w:rsidRDefault="00D94446" w:rsidP="00DB70A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9A">
        <w:rPr>
          <w:rFonts w:ascii="Times New Roman" w:hAnsi="Times New Roman" w:cs="Times New Roman"/>
          <w:sz w:val="24"/>
          <w:szCs w:val="24"/>
        </w:rPr>
        <w:t>Кормильцев И. В., Сурова О. Ю., Рок-поэзия в русской культуре: возникновение, бытование, эволюция // Русская рок-поэзия: текст и контекст. 1998. №1. С. 5–33.</w:t>
      </w:r>
    </w:p>
    <w:p w14:paraId="31F40D61" w14:textId="4DA2B45E" w:rsidR="0018103C" w:rsidRPr="005D709A" w:rsidRDefault="00D94446" w:rsidP="00DB70A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9A">
        <w:rPr>
          <w:rFonts w:ascii="Times New Roman" w:hAnsi="Times New Roman" w:cs="Times New Roman"/>
          <w:sz w:val="24"/>
          <w:szCs w:val="24"/>
        </w:rPr>
        <w:t>Лурье М. Л. Пародийная поэзия школьников // Русский школьный фольклор: от «вызываний» Пиковой дамы до семейных рассказов. М</w:t>
      </w:r>
      <w:r w:rsidR="008E0D6A" w:rsidRPr="005D709A">
        <w:rPr>
          <w:rFonts w:ascii="Times New Roman" w:hAnsi="Times New Roman" w:cs="Times New Roman"/>
          <w:sz w:val="24"/>
          <w:szCs w:val="24"/>
        </w:rPr>
        <w:t>.</w:t>
      </w:r>
      <w:r w:rsidRPr="005D709A">
        <w:rPr>
          <w:rFonts w:ascii="Times New Roman" w:hAnsi="Times New Roman" w:cs="Times New Roman"/>
          <w:sz w:val="24"/>
          <w:szCs w:val="24"/>
        </w:rPr>
        <w:t>, 1998. С. 430–518.</w:t>
      </w:r>
    </w:p>
    <w:p w14:paraId="75EE679E" w14:textId="416795A7" w:rsidR="005D709A" w:rsidRPr="007C2F25" w:rsidRDefault="005D709A" w:rsidP="00DB70A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9A">
        <w:rPr>
          <w:rFonts w:ascii="Times New Roman" w:hAnsi="Times New Roman" w:cs="Times New Roman"/>
          <w:sz w:val="24"/>
          <w:szCs w:val="24"/>
        </w:rPr>
        <w:t>Тынянов Ю. Н. О пародии // Тынянов Ю. Н. Поэтика. История литературы. Кино. М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D709A">
        <w:rPr>
          <w:rFonts w:ascii="Times New Roman" w:hAnsi="Times New Roman" w:cs="Times New Roman"/>
          <w:sz w:val="24"/>
          <w:szCs w:val="24"/>
        </w:rPr>
        <w:t>, 1977.</w:t>
      </w:r>
    </w:p>
    <w:sectPr w:rsidR="005D709A" w:rsidRPr="007C2F25" w:rsidSect="00DB70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2F3A"/>
    <w:multiLevelType w:val="hybridMultilevel"/>
    <w:tmpl w:val="991067E2"/>
    <w:lvl w:ilvl="0" w:tplc="E81AD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41D8"/>
    <w:multiLevelType w:val="hybridMultilevel"/>
    <w:tmpl w:val="952E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61FE5"/>
    <w:multiLevelType w:val="hybridMultilevel"/>
    <w:tmpl w:val="976203BE"/>
    <w:lvl w:ilvl="0" w:tplc="F6187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50049"/>
    <w:multiLevelType w:val="hybridMultilevel"/>
    <w:tmpl w:val="3B3A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C4064"/>
    <w:rsid w:val="00133E56"/>
    <w:rsid w:val="0018103C"/>
    <w:rsid w:val="001F306B"/>
    <w:rsid w:val="00231C63"/>
    <w:rsid w:val="003F066C"/>
    <w:rsid w:val="005474B0"/>
    <w:rsid w:val="005D709A"/>
    <w:rsid w:val="007C2F25"/>
    <w:rsid w:val="008E0D6A"/>
    <w:rsid w:val="00A65E06"/>
    <w:rsid w:val="00C24A22"/>
    <w:rsid w:val="00D94446"/>
    <w:rsid w:val="00D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50EA"/>
  <w15:chartTrackingRefBased/>
  <w15:docId w15:val="{49CF5589-3128-4018-B9B0-77239623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C63"/>
    <w:rPr>
      <w:b/>
      <w:bCs/>
    </w:rPr>
  </w:style>
  <w:style w:type="character" w:styleId="a5">
    <w:name w:val="Emphasis"/>
    <w:basedOn w:val="a0"/>
    <w:uiPriority w:val="20"/>
    <w:qFormat/>
    <w:rsid w:val="00231C63"/>
    <w:rPr>
      <w:i/>
      <w:iCs/>
    </w:rPr>
  </w:style>
  <w:style w:type="paragraph" w:styleId="a6">
    <w:name w:val="List Paragraph"/>
    <w:basedOn w:val="a"/>
    <w:uiPriority w:val="34"/>
    <w:qFormat/>
    <w:rsid w:val="0023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2647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Барбаринский</dc:creator>
  <cp:keywords/>
  <dc:description/>
  <cp:lastModifiedBy>Григорий Барбаринский</cp:lastModifiedBy>
  <cp:revision>9</cp:revision>
  <dcterms:created xsi:type="dcterms:W3CDTF">2025-03-02T13:26:00Z</dcterms:created>
  <dcterms:modified xsi:type="dcterms:W3CDTF">2025-03-02T14:28:00Z</dcterms:modified>
</cp:coreProperties>
</file>