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9D25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содержания</w:t>
      </w:r>
    </w:p>
    <w:p w14:paraId="18852DD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концепта ДОБРО в русском и немецком языках</w:t>
      </w:r>
    </w:p>
    <w:p w14:paraId="483BA61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Андрущенко Ксения Валерьевна</w:t>
      </w:r>
    </w:p>
    <w:p w14:paraId="33604B5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 В. Ломоносова, филологический факультет, Москва, Россия</w:t>
      </w:r>
    </w:p>
    <w:p w14:paraId="1036901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/>
      </w:r>
      <w:r>
        <w:instrText xml:space="preserve"> HYPERLINK "mailto:ksusha2005_14@mail.ru"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ksusha</w:t>
      </w:r>
      <w:r>
        <w:rPr>
          <w:rStyle w:val="4"/>
          <w:rFonts w:ascii="Times New Roman" w:hAnsi="Times New Roman" w:cs="Times New Roman"/>
          <w:sz w:val="24"/>
          <w:szCs w:val="24"/>
        </w:rPr>
        <w:t>2005_14@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18435DA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B6CEDE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— одна из ключевых ценностей многих современных культур, так как именно это понятие лежит в основе христианского вероучения, оказавшего колоссальное влияние на умы людей по всему миру. Кроме того, это понятие тесно связано с отношением людей друг к другу и вбирает в себя 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ножество субъективных значений. В связи с этим мы решили выяснить на примере русского и немецкого языков разницу в восприятии добра людьми, принадлежащими к двум разным культурам.</w:t>
      </w:r>
    </w:p>
    <w:p w14:paraId="4CF01BD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проводился на основании методики выделения отдельных семантических зон ассоциативных полей, разработанной Ю.Н. Карауловым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[3]</w:t>
      </w:r>
      <w:r>
        <w:rPr>
          <w:rFonts w:ascii="Times New Roman" w:hAnsi="Times New Roman" w:cs="Times New Roman"/>
          <w:sz w:val="24"/>
          <w:szCs w:val="24"/>
        </w:rPr>
        <w:t>. Данные были взяты из двух ассоциативных словарей [1, 2].</w:t>
      </w:r>
    </w:p>
    <w:p w14:paraId="3268443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ассоциативных полей стимула ДОБРО/ </w:t>
      </w:r>
      <w:r>
        <w:rPr>
          <w:rFonts w:ascii="Times New Roman" w:hAnsi="Times New Roman" w:cs="Times New Roman"/>
          <w:sz w:val="24"/>
          <w:szCs w:val="24"/>
          <w:lang w:val="en-US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GUTE</w:t>
      </w:r>
      <w:r>
        <w:rPr>
          <w:rFonts w:ascii="Times New Roman" w:hAnsi="Times New Roman" w:cs="Times New Roman"/>
          <w:sz w:val="24"/>
          <w:szCs w:val="24"/>
        </w:rPr>
        <w:t xml:space="preserve"> русских и немцев и распределение реакций по семантическим зонам выявил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следующее. </w:t>
      </w:r>
    </w:p>
    <w:p w14:paraId="650D042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Почти половина ассоциаций на стимул «добро» у обеих групп представлена в зоне </w:t>
      </w:r>
      <w:r>
        <w:rPr>
          <w:rFonts w:ascii="Times New Roman" w:hAnsi="Times New Roman" w:cs="Times New Roman"/>
          <w:b/>
          <w:sz w:val="24"/>
          <w:szCs w:val="24"/>
        </w:rPr>
        <w:t>что 3 (антоним)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 немцев </w:t>
      </w:r>
      <w:r>
        <w:rPr>
          <w:rFonts w:ascii="Times New Roman" w:hAnsi="Times New Roman" w:cs="Times New Roman"/>
          <w:sz w:val="24"/>
          <w:szCs w:val="24"/>
        </w:rPr>
        <w:t>лишь незначительно больше (у русских - 46,2%, у немцев - 49,8%). Самым распространенным ассоциатом стало слово «зло/das Böse» (42,8% - русские, 29% - немцы). Скорее всего, это связано с парностью данных понятий в сознании людей: добро борется со злом.</w:t>
      </w:r>
    </w:p>
    <w:p w14:paraId="3F64819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</w:t>
      </w:r>
      <w:r>
        <w:rPr>
          <w:rFonts w:ascii="Times New Roman" w:hAnsi="Times New Roman" w:cs="Times New Roman"/>
          <w:b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у немцев получила количественное преимущество (8,8%, тогда как у русских 2,5%). Можно предположить, что для них более характерно представление добра в виде отдельных персонажей. Особенно показательно, что у немцев носителями добра выступают мифологические существа (первое место занимает «ангел/Engel» (2,6%), затем идет «фея/Fee» (1,8%). Можно сделать вывод, что в немецком языковом сознании добро живёт в первую очередь в сказке, тогда как в русском у него более тесная связь с реальной жизнью.</w:t>
      </w:r>
    </w:p>
    <w:p w14:paraId="0DCD482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зоне </w:t>
      </w:r>
      <w:r>
        <w:rPr>
          <w:rFonts w:ascii="Times New Roman" w:hAnsi="Times New Roman" w:cs="Times New Roman"/>
          <w:b/>
          <w:sz w:val="24"/>
          <w:szCs w:val="24"/>
        </w:rPr>
        <w:t>что 2 (ценности, эмоции)</w:t>
      </w:r>
      <w:r>
        <w:rPr>
          <w:rFonts w:ascii="Times New Roman" w:hAnsi="Times New Roman" w:cs="Times New Roman"/>
          <w:sz w:val="24"/>
          <w:szCs w:val="24"/>
        </w:rPr>
        <w:t xml:space="preserve"> у немецких испытуемых 18,7% реакций, у русских －11,5%. Общими являются ассоциаты «счастье/Glück», «Бог/Gott»,  «мир/Friede(n)», «любовь/Liebe», «радость/Freude», однако у немцев на первом месте счастье и Бог (3,7% у каждой из реакций), у русских － свет (3%). Можно сделать вывод, что у первых добро проистекает из веры (о чем также может свидетельствовать и реакция «ангел/Engel» в зоне кто) и приносит человеку счастье, у вторых же добро имеет более абстрактное воплощение в виде духовного света.</w:t>
      </w:r>
    </w:p>
    <w:p w14:paraId="17555A5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Реакции в зоне </w:t>
      </w:r>
      <w:r>
        <w:rPr>
          <w:rFonts w:ascii="Times New Roman" w:hAnsi="Times New Roman" w:cs="Times New Roman"/>
          <w:b/>
          <w:sz w:val="24"/>
          <w:szCs w:val="24"/>
        </w:rPr>
        <w:t xml:space="preserve">что 1 (предмет) </w:t>
      </w:r>
      <w:r>
        <w:rPr>
          <w:rFonts w:ascii="Times New Roman" w:hAnsi="Times New Roman" w:cs="Times New Roman"/>
          <w:sz w:val="24"/>
          <w:szCs w:val="24"/>
        </w:rPr>
        <w:t>у немцев получились гораздо более конкретными (</w:t>
      </w:r>
      <w:r>
        <w:rPr>
          <w:rFonts w:ascii="Times New Roman" w:hAnsi="Times New Roman" w:cs="Times New Roman"/>
          <w:i/>
          <w:sz w:val="24"/>
          <w:szCs w:val="24"/>
        </w:rPr>
        <w:t xml:space="preserve">«день рождения/Geburtstag» (1,1%), «что-то приятное/etwas Schöne» (0,7%), «сказка/Märchen» (0,7%), «право/Recht» (0,7%), «футбол/Fußball» (0,7%). </w:t>
      </w:r>
      <w:r>
        <w:rPr>
          <w:rFonts w:ascii="Times New Roman" w:hAnsi="Times New Roman" w:cs="Times New Roman"/>
          <w:sz w:val="24"/>
          <w:szCs w:val="24"/>
        </w:rPr>
        <w:t xml:space="preserve">У русских здесь  такие реакции: </w:t>
      </w:r>
      <w:r>
        <w:rPr>
          <w:rFonts w:ascii="Times New Roman" w:hAnsi="Times New Roman" w:cs="Times New Roman"/>
          <w:i/>
          <w:sz w:val="24"/>
          <w:szCs w:val="24"/>
        </w:rPr>
        <w:t>улыбка (1%), сказка (0,7%), волшебство (0,5%), дело (0,5%), победа (0,5%), редкость (0,5%), сердце (0,5%), ценность (0,5%)</w:t>
      </w:r>
      <w:r>
        <w:rPr>
          <w:rFonts w:ascii="Times New Roman" w:hAnsi="Times New Roman" w:cs="Times New Roman"/>
          <w:sz w:val="24"/>
          <w:szCs w:val="24"/>
        </w:rPr>
        <w:t xml:space="preserve">. Как видно, у русских ассоциации в этой зоне больше метафоричные и оценочные, а у немцев – материальные. Можно предположить, что возникновение таких конкретных ассоциаций связано с тем, что слово </w:t>
      </w:r>
      <w:r>
        <w:rPr>
          <w:rFonts w:ascii="Times New Roman" w:hAnsi="Times New Roman" w:cs="Times New Roman"/>
          <w:i/>
          <w:sz w:val="24"/>
          <w:szCs w:val="24"/>
        </w:rPr>
        <w:t>das Gute</w:t>
      </w:r>
      <w:r>
        <w:rPr>
          <w:rFonts w:ascii="Times New Roman" w:hAnsi="Times New Roman" w:cs="Times New Roman"/>
          <w:sz w:val="24"/>
          <w:szCs w:val="24"/>
        </w:rPr>
        <w:t xml:space="preserve">, которое на русский переводится как «добро», в немецком производно от прилагательного «gut», означающего «хороший», поэтому у кого-то оно в первую очередь связано с чем-то хорошим. Отсюда  такие реакции как «футбол», «день рождения», «право» и т.д. Обращает на себя внимание ассоциация </w:t>
      </w:r>
      <w:r>
        <w:rPr>
          <w:rFonts w:ascii="Times New Roman" w:hAnsi="Times New Roman" w:cs="Times New Roman"/>
          <w:i/>
          <w:sz w:val="24"/>
          <w:szCs w:val="24"/>
        </w:rPr>
        <w:t>право/Recht (2) - 0,7%</w:t>
      </w:r>
      <w:r>
        <w:rPr>
          <w:rFonts w:ascii="Times New Roman" w:hAnsi="Times New Roman" w:cs="Times New Roman"/>
          <w:sz w:val="24"/>
          <w:szCs w:val="24"/>
        </w:rPr>
        <w:t xml:space="preserve">, возникновение которой обусловлено юридическим сознанием </w:t>
      </w:r>
      <w:r>
        <w:rPr>
          <w:rFonts w:ascii="Times New Roman" w:hAnsi="Times New Roman" w:cs="Times New Roman"/>
          <w:color w:val="auto"/>
          <w:sz w:val="24"/>
          <w:szCs w:val="24"/>
        </w:rPr>
        <w:t>жителей</w:t>
      </w:r>
      <w:r>
        <w:rPr>
          <w:rFonts w:ascii="Times New Roman" w:hAnsi="Times New Roman" w:cs="Times New Roman"/>
          <w:color w:val="ED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большинства европейских стран.</w:t>
      </w:r>
    </w:p>
    <w:p w14:paraId="40772C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немцев большое количество реакций в зоне </w:t>
      </w:r>
      <w:r>
        <w:rPr>
          <w:rFonts w:ascii="Times New Roman" w:hAnsi="Times New Roman" w:cs="Times New Roman"/>
          <w:b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</w:rPr>
        <w:t xml:space="preserve">, тогда как у русских превосходство получает зона </w:t>
      </w:r>
      <w:r>
        <w:rPr>
          <w:rFonts w:ascii="Times New Roman" w:hAnsi="Times New Roman" w:cs="Times New Roman"/>
          <w:b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. Эти зоны представляют оценочную характеристику и такое процентное распределение реакций говорит о разных видах оценки в сознании двух народов.</w:t>
      </w:r>
    </w:p>
    <w:p w14:paraId="36FD5C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 русских больше реакций в зоне </w:t>
      </w:r>
      <w:r>
        <w:rPr>
          <w:rFonts w:ascii="Times New Roman" w:hAnsi="Times New Roman" w:cs="Times New Roman"/>
          <w:b/>
          <w:sz w:val="24"/>
          <w:szCs w:val="24"/>
        </w:rPr>
        <w:t>действие/состояние</w:t>
      </w:r>
      <w:r>
        <w:rPr>
          <w:rFonts w:ascii="Times New Roman" w:hAnsi="Times New Roman" w:cs="Times New Roman"/>
          <w:sz w:val="24"/>
          <w:szCs w:val="24"/>
        </w:rPr>
        <w:t xml:space="preserve"> (5,4%). Если у немцев здесь только состояние «не существует/gibt es nicht» (1,1%), то у русских представлены такие ассоциаты, как «делать» (1,6%), «побеждает» (1,4%), «победит» (1%), «творить» (0,7%), «дарить» (0,5%), «есть» (0,5%). Скорее всего, это связано с более активной позицией добра у русских по сравнению с немцами. Оно и в реальной жизни побеждает благодаря тому, что человек способен творить добро.</w:t>
      </w:r>
    </w:p>
    <w:p w14:paraId="30DC34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Характерно, что у русских одной из главных ассоциаций стало выражение «добро пожаловать» (22%) в зоне </w:t>
      </w:r>
      <w:r>
        <w:rPr>
          <w:rFonts w:ascii="Times New Roman" w:hAnsi="Times New Roman" w:cs="Times New Roman"/>
          <w:b/>
          <w:sz w:val="24"/>
          <w:szCs w:val="24"/>
        </w:rPr>
        <w:t>словосочетание/выражение</w:t>
      </w:r>
      <w:r>
        <w:rPr>
          <w:rFonts w:ascii="Times New Roman" w:hAnsi="Times New Roman" w:cs="Times New Roman"/>
          <w:sz w:val="24"/>
          <w:szCs w:val="24"/>
        </w:rPr>
        <w:t>. Можно предположить, что в общении чаще всего слово «добро» употребляется именно в контексте выражения гостеприимства. У немцев же в этой зоне находится только словосочетание «в человеке/im Menschen» (1,1%).</w:t>
      </w:r>
    </w:p>
    <w:p w14:paraId="37FAE1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анализа был составлен график, наглядно демонстрирующий распределение ассоциаций русских и немецких испытуемых по семантическим зонам.</w:t>
      </w:r>
    </w:p>
    <w:p w14:paraId="4A9EE8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275" w:firstLineChars="125"/>
        <w:jc w:val="both"/>
        <w:textAlignment w:val="auto"/>
        <w:rPr>
          <w:rFonts w:ascii="Times New Roman" w:hAnsi="Times New Roman" w:eastAsia="Calibri"/>
        </w:rPr>
      </w:pPr>
      <w:r>
        <w:rPr>
          <w:lang w:eastAsia="ru-RU"/>
        </w:rPr>
        <w:drawing>
          <wp:inline distT="0" distB="0" distL="0" distR="0">
            <wp:extent cx="5620385" cy="3441065"/>
            <wp:effectExtent l="4445" t="4445" r="1397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D41EB3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757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74EAA89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Черкасова, Н.В. Уфимцева. Русский региональный ассоциативный словарь-тезаурус ЕВРАС : (Европейская часть России): в 2 Т. - М. : Москва, 2014. – 280 с.</w:t>
      </w:r>
    </w:p>
    <w:p w14:paraId="6952F82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Уфимцева, И.А. Стернин, Х.Эккерт, В.И. Милехина, В.М.Топорова. Ассоциативные нормы русского и немецкого языков. Москва-Воронеж: «Истоки», 2004 г. – 130 с.</w:t>
      </w:r>
    </w:p>
    <w:p w14:paraId="3F1BF5C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300" w:firstLineChars="125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Ю.Н. Караулов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Показатели национального менталитета в ассоциативно-вербральной сети // Языковое сознание и образ мира. М.: Институт языкознания РАН, 2000. С. 191-206.</w:t>
      </w:r>
    </w:p>
    <w:p w14:paraId="009B60C2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F07EDA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757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E34091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757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D4C80E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757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AFA12C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04350"/>
    <w:multiLevelType w:val="multilevel"/>
    <w:tmpl w:val="4C104350"/>
    <w:lvl w:ilvl="0" w:tentative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7" w:hanging="360"/>
      </w:pPr>
    </w:lvl>
    <w:lvl w:ilvl="2" w:tentative="0">
      <w:start w:val="1"/>
      <w:numFmt w:val="lowerRoman"/>
      <w:lvlText w:val="%3."/>
      <w:lvlJc w:val="right"/>
      <w:pPr>
        <w:ind w:left="2197" w:hanging="180"/>
      </w:pPr>
    </w:lvl>
    <w:lvl w:ilvl="3" w:tentative="0">
      <w:start w:val="1"/>
      <w:numFmt w:val="decimal"/>
      <w:lvlText w:val="%4."/>
      <w:lvlJc w:val="left"/>
      <w:pPr>
        <w:ind w:left="2917" w:hanging="360"/>
      </w:pPr>
    </w:lvl>
    <w:lvl w:ilvl="4" w:tentative="0">
      <w:start w:val="1"/>
      <w:numFmt w:val="lowerLetter"/>
      <w:lvlText w:val="%5."/>
      <w:lvlJc w:val="left"/>
      <w:pPr>
        <w:ind w:left="3637" w:hanging="360"/>
      </w:pPr>
    </w:lvl>
    <w:lvl w:ilvl="5" w:tentative="0">
      <w:start w:val="1"/>
      <w:numFmt w:val="lowerRoman"/>
      <w:lvlText w:val="%6."/>
      <w:lvlJc w:val="right"/>
      <w:pPr>
        <w:ind w:left="4357" w:hanging="180"/>
      </w:pPr>
    </w:lvl>
    <w:lvl w:ilvl="6" w:tentative="0">
      <w:start w:val="1"/>
      <w:numFmt w:val="decimal"/>
      <w:lvlText w:val="%7."/>
      <w:lvlJc w:val="left"/>
      <w:pPr>
        <w:ind w:left="5077" w:hanging="360"/>
      </w:pPr>
    </w:lvl>
    <w:lvl w:ilvl="7" w:tentative="0">
      <w:start w:val="1"/>
      <w:numFmt w:val="lowerLetter"/>
      <w:lvlText w:val="%8."/>
      <w:lvlJc w:val="left"/>
      <w:pPr>
        <w:ind w:left="5797" w:hanging="360"/>
      </w:pPr>
    </w:lvl>
    <w:lvl w:ilvl="8" w:tentative="0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6D"/>
    <w:rsid w:val="000362AE"/>
    <w:rsid w:val="000556C0"/>
    <w:rsid w:val="00084592"/>
    <w:rsid w:val="003605F6"/>
    <w:rsid w:val="0039092A"/>
    <w:rsid w:val="003E2E5F"/>
    <w:rsid w:val="0041473C"/>
    <w:rsid w:val="00463370"/>
    <w:rsid w:val="005F5667"/>
    <w:rsid w:val="00607080"/>
    <w:rsid w:val="007E509D"/>
    <w:rsid w:val="008D3130"/>
    <w:rsid w:val="00993A9E"/>
    <w:rsid w:val="00AB2F8E"/>
    <w:rsid w:val="00BD62E3"/>
    <w:rsid w:val="00D16A0E"/>
    <w:rsid w:val="00D54CB8"/>
    <w:rsid w:val="00DB41E8"/>
    <w:rsid w:val="00EA74FC"/>
    <w:rsid w:val="00F009E5"/>
    <w:rsid w:val="00F6293E"/>
    <w:rsid w:val="00FD126D"/>
    <w:rsid w:val="028F54B6"/>
    <w:rsid w:val="131508A4"/>
    <w:rsid w:val="7A4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organictextcontentspan"/>
    <w:basedOn w:val="2"/>
    <w:qFormat/>
    <w:uiPriority w:val="0"/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041113140094"/>
          <c:y val="0.0404627711009809"/>
          <c:w val="0.849880853265171"/>
          <c:h val="0.3886307961504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Русские</c:v>
                </c:pt>
              </c:strCache>
            </c:strRef>
          </c:tx>
          <c:spPr>
            <a:pattFill prst="ltVert">
              <a:fgClr>
                <a:schemeClr val="bg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bg1">
                  <a:lumMod val="50000"/>
                </a:schemeClr>
              </a:solidFill>
            </a:ln>
          </c:spPr>
          <c:invertIfNegative val="0"/>
          <c:dLbls>
            <c:delete val="1"/>
          </c:dLbls>
          <c:cat>
            <c:multiLvlStrRef>
              <c:f>Лист1!$A$2:$B$12</c:f>
              <c:multiLvlStrCache>
                <c:ptCount val="11"/>
                <c:lvl>
                  <c:pt idx="0">
                    <c:v>Что 1 (предмет)</c:v>
                  </c:pt>
                  <c:pt idx="1">
                    <c:v>Что 2 (ценность, эмоция)</c:v>
                  </c:pt>
                  <c:pt idx="2">
                    <c:v>Что 3 (антоним)</c:v>
                  </c:pt>
                  <c:pt idx="3">
                    <c:v>Что 4 (синоним)</c:v>
                  </c:pt>
                  <c:pt idx="4">
                    <c:v>Кто</c:v>
                  </c:pt>
                  <c:pt idx="5">
                    <c:v>Какой</c:v>
                  </c:pt>
                  <c:pt idx="6">
                    <c:v>Как</c:v>
                  </c:pt>
                  <c:pt idx="7">
                    <c:v>Действие/ состояние</c:v>
                  </c:pt>
                  <c:pt idx="8">
                    <c:v>Словосочетание/ выражение</c:v>
                  </c:pt>
                  <c:pt idx="9">
                    <c:v>Время</c:v>
                  </c:pt>
                  <c:pt idx="10">
                    <c:v>Прочее</c:v>
                  </c:pt>
                </c:lvl>
                <c:lvl>
                  <c:pt idx="0">
                    <c:v>добро</c:v>
                  </c:pt>
                </c:lvl>
              </c:multiLvlStrCache>
            </c:multiLvlStrRef>
          </c:cat>
          <c:val>
            <c:numRef>
              <c:f>Лист1!$C$2:$C$12</c:f>
              <c:numCache>
                <c:formatCode>0.00%</c:formatCode>
                <c:ptCount val="11"/>
                <c:pt idx="0">
                  <c:v>0.043</c:v>
                </c:pt>
                <c:pt idx="1">
                  <c:v>0.115</c:v>
                </c:pt>
                <c:pt idx="2">
                  <c:v>0.462</c:v>
                </c:pt>
                <c:pt idx="3">
                  <c:v>0.025</c:v>
                </c:pt>
                <c:pt idx="4">
                  <c:v>0.025</c:v>
                </c:pt>
                <c:pt idx="5" c:formatCode="0%">
                  <c:v>0.01</c:v>
                </c:pt>
                <c:pt idx="6">
                  <c:v>0.041</c:v>
                </c:pt>
                <c:pt idx="7">
                  <c:v>0.054</c:v>
                </c:pt>
                <c:pt idx="8">
                  <c:v>0.226</c:v>
                </c:pt>
                <c:pt idx="9" c:formatCode="0%">
                  <c:v>0</c:v>
                </c:pt>
                <c:pt idx="10" c: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Немцы</c:v>
                </c:pt>
              </c:strCache>
            </c:strRef>
          </c:tx>
          <c:spPr>
            <a:pattFill prst="narHorz">
              <a:fgClr>
                <a:schemeClr val="bg1">
                  <a:lumMod val="50000"/>
                </a:schemeClr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bg1">
                  <a:lumMod val="50000"/>
                </a:schemeClr>
              </a:solidFill>
            </a:ln>
          </c:spPr>
          <c:invertIfNegative val="0"/>
          <c:dLbls>
            <c:delete val="1"/>
          </c:dLbls>
          <c:cat>
            <c:multiLvlStrRef>
              <c:f>Лист1!$A$2:$B$12</c:f>
              <c:multiLvlStrCache>
                <c:ptCount val="11"/>
                <c:lvl>
                  <c:pt idx="0">
                    <c:v>Что 1 (предмет)</c:v>
                  </c:pt>
                  <c:pt idx="1">
                    <c:v>Что 2 (ценность, эмоция)</c:v>
                  </c:pt>
                  <c:pt idx="2">
                    <c:v>Что 3 (антоним)</c:v>
                  </c:pt>
                  <c:pt idx="3">
                    <c:v>Что 4 (синоним)</c:v>
                  </c:pt>
                  <c:pt idx="4">
                    <c:v>Кто</c:v>
                  </c:pt>
                  <c:pt idx="5">
                    <c:v>Какой</c:v>
                  </c:pt>
                  <c:pt idx="6">
                    <c:v>Как</c:v>
                  </c:pt>
                  <c:pt idx="7">
                    <c:v>Действие/ состояние</c:v>
                  </c:pt>
                  <c:pt idx="8">
                    <c:v>Словосочетание/ выражение</c:v>
                  </c:pt>
                  <c:pt idx="9">
                    <c:v>Время</c:v>
                  </c:pt>
                  <c:pt idx="10">
                    <c:v>Прочее</c:v>
                  </c:pt>
                </c:lvl>
                <c:lvl>
                  <c:pt idx="0">
                    <c:v>добро</c:v>
                  </c:pt>
                </c:lvl>
              </c:multiLvlStrCache>
            </c:multiLvlStrRef>
          </c:cat>
          <c:val>
            <c:numRef>
              <c:f>Лист1!$D$2:$D$12</c:f>
              <c:numCache>
                <c:formatCode>0%</c:formatCode>
                <c:ptCount val="11"/>
                <c:pt idx="0">
                  <c:v>0.04</c:v>
                </c:pt>
                <c:pt idx="1" c:formatCode="0.00%">
                  <c:v>0.187</c:v>
                </c:pt>
                <c:pt idx="2" c:formatCode="0.00%">
                  <c:v>0.498</c:v>
                </c:pt>
                <c:pt idx="3">
                  <c:v>0</c:v>
                </c:pt>
                <c:pt idx="4" c:formatCode="0.00%">
                  <c:v>0.088</c:v>
                </c:pt>
                <c:pt idx="5" c:formatCode="0.00%">
                  <c:v>0.172</c:v>
                </c:pt>
                <c:pt idx="6">
                  <c:v>0</c:v>
                </c:pt>
                <c:pt idx="7" c:formatCode="0.00%">
                  <c:v>0.011</c:v>
                </c:pt>
                <c:pt idx="8" c:formatCode="0.00%">
                  <c:v>0.011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847808"/>
        <c:axId val="147890560"/>
      </c:barChart>
      <c:catAx>
        <c:axId val="147847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7890560"/>
        <c:crosses val="autoZero"/>
        <c:auto val="1"/>
        <c:lblAlgn val="ctr"/>
        <c:lblOffset val="100"/>
        <c:noMultiLvlLbl val="0"/>
      </c:catAx>
      <c:valAx>
        <c:axId val="1478905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784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615849988908"/>
          <c:y val="0.0264456166569849"/>
          <c:w val="0.126055879927481"/>
          <c:h val="0.14524423829357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9198178-b0e2-416e-b232-15329f899f82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773</Words>
  <Characters>4409</Characters>
  <Lines>36</Lines>
  <Paragraphs>10</Paragraphs>
  <TotalTime>5</TotalTime>
  <ScaleCrop>false</ScaleCrop>
  <LinksUpToDate>false</LinksUpToDate>
  <CharactersWithSpaces>5172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2025-02-22T12:59:00Z</dcterms:created>
  <dc:creator>ASUS</dc:creator>
  <cp:lastModifiedBy>ASUS</cp:lastModifiedBy>
  <dcterms:modified xsi:type="dcterms:W3CDTF">2025-02-28T17:52:14Z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409534BB9A0D4528BEB41A32AA6DD660_13</vt:lpwstr>
  </property>
</Properties>
</file>