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Фальшивые индексикалы в русском языке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анализ через логофоричность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Парамонова Дарья Александровна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студентка МГУ им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Россия </w:t>
      </w:r>
    </w:p>
    <w:p>
      <w:pPr>
        <w:pStyle w:val="Body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Введение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исследовании рассматриваются контексты семантического связывания анафорических местоимений </w:t>
      </w:r>
      <w:r>
        <w:rPr>
          <w:rFonts w:ascii="Times New Roman" w:hAnsi="Times New Roman"/>
          <w:sz w:val="24"/>
          <w:szCs w:val="24"/>
          <w:rtl w:val="0"/>
        </w:rPr>
        <w:t xml:space="preserve">1/2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 в русском языке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английского и ряда других языков был сформулирован соответствующий формальный анализ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объясняющий поведение так называемых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фальшивых индексикалов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местоимений </w:t>
      </w:r>
      <w:r>
        <w:rPr>
          <w:rFonts w:ascii="Times New Roman" w:hAnsi="Times New Roman"/>
          <w:sz w:val="24"/>
          <w:szCs w:val="24"/>
          <w:rtl w:val="0"/>
        </w:rPr>
        <w:t xml:space="preserve">1/2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функционируют как связанные переменные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должны однозначно соотноситься с говорящим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слушающим и не могут иметь связанной интерпретации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[Partee 1989].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русского языка нет формальных описаний местоимений в теории фальшивых индексикалов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([Bassi 2019], [Kratzer 2009]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.). </w:t>
      </w:r>
    </w:p>
    <w:p>
      <w:pPr>
        <w:pStyle w:val="Body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Заметки о дизайне эксперимента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эксперименте анализировались предложения с русской фокусной частицей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только</w:t>
      </w:r>
      <w:r>
        <w:rPr>
          <w:rFonts w:ascii="Times New Roman" w:hAnsi="Times New Roman"/>
          <w:sz w:val="24"/>
          <w:szCs w:val="24"/>
          <w:rtl w:val="0"/>
        </w:rPr>
        <w:t xml:space="preserve"> (1).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мы рассматривали тип связанного местоимения и его антецедента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тип предложения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оно находилось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докладе мы представим подробное описание эксперимента со всей необходимой статистикой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(1)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я ем 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готовят мои дети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tab/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связ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Другие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едят 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готовят дети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’а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кореф</w:t>
      </w:r>
      <w:r>
        <w:rPr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Другие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едят 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готовят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дети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Экспериментальные данные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Опишем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некоторые выводы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полученные в результате обработки экспериментальных данных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в качестве статистического критерия был посчитан χ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2):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Нулевые местоимения с бóльшей вероятностью будут семантически связаны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чем выраженные личные местоимения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Местоимения в сентенциальных аргументах скорее будут семантически связаны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командования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местоимения в относительных клаузах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Притяжательные местоимения в качестве антецедентов личных местоимений скорее не допускают семантическое связывание индексикала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докладе мы также обсудим другие экспериментальные выводы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которые уже упоминались в значительном количестве литературы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</w:t>
      </w:r>
    </w:p>
    <w:p>
      <w:pPr>
        <w:pStyle w:val="Body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Нулевые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vs.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выраженные местоимения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Связывание нулевых местоимений кажется респондентам более удачным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чем связывание выраженных личных местоимений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Фактически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и нулевые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и выраженные личные местоимения с бóльшей вероятностью будут связаны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если они являются субъектами вложенного сентенциального аргумента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но в относительных клаузах нулевые местоимения допускают семантическое связывание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в то время как выраженные личные местоимения в основном имеют кореферентное прочтение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Вслед за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[Kratzer 2009]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предположим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что связывание возможно только тогда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когда присутствует цепочка согласования через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от матричного предиката к местоимению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: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918046</wp:posOffset>
                </wp:positionH>
                <wp:positionV relativeFrom="line">
                  <wp:posOffset>190516</wp:posOffset>
                </wp:positionV>
                <wp:extent cx="904025" cy="19048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025" cy="190481"/>
                          <a:chOff x="0" y="0"/>
                          <a:chExt cx="904024" cy="19048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4538" y="5276"/>
                            <a:ext cx="897179" cy="87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 flipH="1">
                            <a:off x="902651" y="10545"/>
                            <a:ext cx="1374" cy="1799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 flipH="1">
                            <a:off x="0" y="0"/>
                            <a:ext cx="1" cy="1581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2.3pt;margin-top:15.0pt;width:71.2pt;height:15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04025,190480">
                <w10:wrap type="none" side="bothSides" anchorx="text"/>
                <v:line id="_x0000_s1027" style="position:absolute;left:4538;top:5277;width:897178;height:877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902652;top:10545;width:1373;height:17993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/v:line>
                <v:line id="_x0000_s1029" style="position:absolute;left:0;top:0;width:0;height:15814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1789384</wp:posOffset>
                </wp:positionH>
                <wp:positionV relativeFrom="line">
                  <wp:posOffset>581036</wp:posOffset>
                </wp:positionV>
                <wp:extent cx="314906" cy="190428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06" cy="190428"/>
                          <a:chOff x="0" y="0"/>
                          <a:chExt cx="314905" cy="190427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 flipH="1">
                            <a:off x="310876" y="47423"/>
                            <a:ext cx="757" cy="13597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 flipH="1">
                            <a:off x="231" y="182141"/>
                            <a:ext cx="314675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 flipV="1">
                            <a:off x="0" y="0"/>
                            <a:ext cx="1766" cy="1904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140.9pt;margin-top:45.8pt;width:24.8pt;height:15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14906,190427">
                <w10:wrap type="none" side="bothSides" anchorx="text"/>
                <v:line id="_x0000_s1031" style="position:absolute;left:310877;top:47423;width:756;height:13597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32" style="position:absolute;left:232;top:182141;width:314674;height:262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33" style="position:absolute;left:0;top:0;width:1765;height:190427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it-IT"/>
        </w:rPr>
        <w:t>(2)</w:t>
        <w:tab/>
        <w:t xml:space="preserve">a.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я сказал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гуляю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tab/>
        <w:br w:type="textWrapping"/>
        <w:tab/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b. 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[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C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P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/>
            </m:r>
          </m:sub>
        </m:sSub>
        <m:r>
          <w:rPr xmlns:w="http://schemas.openxmlformats.org/wordprocessingml/2006/main">
            <w:rFonts w:ascii="Cambria Math" w:hAnsi="Cambria Math"/>
            <w:i/>
            <w:color w:val="1f1f1f"/>
            <w:sz w:val="25"/>
            <w:szCs w:val="25"/>
          </w:rPr>
          <m:t/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C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λ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[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n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]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/>
            </m:r>
          </m:sub>
        </m:sSub>
        <m:sSub>
          <m:e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[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T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P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/>
            </m:r>
          </m:sub>
        </m:sSub>
        <m:r>
          <w:rPr xmlns:w="http://schemas.openxmlformats.org/wordprocessingml/2006/main">
            <w:rFonts w:ascii="Cambria Math" w:hAnsi="Cambria Math"/>
            <w:i/>
            <w:color w:val="1f1f1f"/>
            <w:sz w:val="25"/>
            <w:szCs w:val="25"/>
          </w:rPr>
          <m:t/>
        </m:r>
        <m:r>
          <w:rPr xmlns:w="http://schemas.openxmlformats.org/wordprocessingml/2006/main">
            <w:rFonts w:ascii="Cambria Math" w:hAnsi="Cambria Math"/>
            <w:i/>
            <w:color w:val="1f1f1f"/>
            <w:sz w:val="25"/>
            <w:szCs w:val="25"/>
          </w:rPr>
          <m:t>T</m:t>
        </m:r>
        <m:r>
          <w:rPr xmlns:w="http://schemas.openxmlformats.org/wordprocessingml/2006/main">
            <w:rFonts w:ascii="Cambria Math" w:hAnsi="Cambria Math"/>
            <w:i/>
            <w:color w:val="1f1f1f"/>
            <w:sz w:val="25"/>
            <w:szCs w:val="25"/>
          </w:rPr>
          <m:t/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[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v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>P</m:t>
            </m:r>
            <m:r>
              <w:rPr xmlns:w="http://schemas.openxmlformats.org/wordprocessingml/2006/main">
                <w:rFonts w:ascii="Cambria Math" w:hAnsi="Cambria Math"/>
                <w:i/>
                <w:color w:val="1f1f1f"/>
                <w:sz w:val="25"/>
                <w:szCs w:val="25"/>
              </w:rPr>
              <m:t/>
            </m:r>
          </m:sub>
        </m:sSub>
        <m:sSub>
          <m:e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/>
            </m:r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Ø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[</m:t>
            </m:r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n</m:t>
            </m:r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]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/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v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λ</m:t>
            </m:r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[</m:t>
            </m:r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n</m:t>
            </m:r>
            <m:r>
              <w:rPr xmlns:w="http://schemas.openxmlformats.org/wordprocessingml/2006/main">
                <w:rFonts w:ascii="Cambria Math" w:hAnsi="Cambria Math"/>
                <w:i/>
                <w:color w:val="474747"/>
                <w:sz w:val="25"/>
                <w:szCs w:val="25"/>
              </w:rPr>
              <m:t>]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/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г</m:t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у</m:t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л</m:t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я</m:t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ю</m:t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]</m:t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]</m:t>
        </m:r>
        <m:r>
          <w:rPr xmlns:w="http://schemas.openxmlformats.org/wordprocessingml/2006/main">
            <w:rFonts w:ascii="Cambria Math" w:hAnsi="Cambria Math"/>
            <w:i/>
            <w:color w:val="474747"/>
            <w:sz w:val="25"/>
            <w:szCs w:val="25"/>
          </w:rPr>
          <m:t>]</m:t>
        </m:r>
        <m:r>
          <w:rPr xmlns:w="http://schemas.openxmlformats.org/wordprocessingml/2006/main">
            <w:rFonts w:ascii="Cambria Math" w:hAnsi="Cambria Math"/>
            <w:i/>
            <w:color w:val="1f1f1f"/>
            <w:sz w:val="25"/>
            <w:szCs w:val="25"/>
          </w:rPr>
          <m:t/>
        </m:r>
      </m:oMath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br w:type="textWrapping"/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работы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[Shushurin 2018]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можем предположить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русские нулевые местоимения начинаются как минимальные местоимения с неозначенными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ϕ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признаками и неозначенным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 D-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признаком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Holmberg and Sheehan 2010),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время как выраженные местоимения являются референтными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их </w:t>
      </w:r>
      <w:r>
        <w:rPr>
          <w:rFonts w:ascii="Times New Roman" w:hAnsi="Times New Roman"/>
          <w:sz w:val="24"/>
          <w:szCs w:val="24"/>
          <w:rtl w:val="0"/>
          <w:lang w:val="da-DK"/>
        </w:rPr>
        <w:t>D-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признак изначально означенный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Согласно экспериментальным данным эта идея подтверждается для нулевых местоимений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они семантически связаны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то есть получают значение своего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da-DK"/>
          <w14:textFill>
            <w14:solidFill>
              <w14:srgbClr w14:val="1F1F1F"/>
            </w14:solidFill>
          </w14:textFill>
        </w:rPr>
        <w:t>D-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признака в результате согласования с вложенным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es-ES_tradnl"/>
          <w14:textFill>
            <w14:solidFill>
              <w14:srgbClr w14:val="1F1F1F"/>
            </w14:solidFill>
          </w14:textFill>
        </w:rPr>
        <w:t xml:space="preserve">C,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который в свою очередь получает значение этого признака от проекции матричного 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vP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их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ϕ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признаки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получают свое значение от вложенного глагола через предикацию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При этом личные местоимения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по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видимому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различаются между референтными местоимениями в относительных предложениях и связанными местоимениями в сентенциальных аргументах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Мы предлагаем объяснять этот факт свойством логофоричности</w:t>
      </w:r>
      <w:r>
        <w:rPr>
          <w:rtl w:val="0"/>
        </w:rPr>
        <w:t>.</w:t>
      </w:r>
    </w:p>
    <w:p>
      <w:pPr>
        <w:pStyle w:val="Body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Русские выраженные местоимения – логофоры</w:t>
      </w:r>
      <w:r>
        <w:rPr>
          <w:rFonts w:ascii="Times New Roman" w:hAnsi="Times New Roman"/>
          <w:b w:val="1"/>
          <w:b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 Мы предполагаем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что основное различие между нулевыми местоимениями и выраженными личными местоимениями в русском языке заключается не в их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da-DK"/>
          <w14:textFill>
            <w14:solidFill>
              <w14:srgbClr w14:val="1F1F1F"/>
            </w14:solidFill>
          </w14:textFill>
        </w:rPr>
        <w:t>D-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признаке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на самом деле оба они могут рождаться с неозначенным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da-DK"/>
          <w14:textFill>
            <w14:solidFill>
              <w14:srgbClr w14:val="1F1F1F"/>
            </w14:solidFill>
          </w14:textFill>
        </w:rPr>
        <w:t xml:space="preserve"> D-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признаком и функционировать как связанные переменные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а в их свойствах относительно логофоричности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Выраженные местоимения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по всей видимости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являются логофорическими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Это особый класс анафорических местоимений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чьи признаки могут быть проверены исключительно предикатами пропозициональной установки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[Schlenker 1999].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Синтаксически русские выраженные местоимения появляются с неозначенным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log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признаком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(=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u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log),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который может быть означен только предикатом пропозициональной установки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который имеет индекс связывателя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несущий соответствующий интерпретируемый признак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>(=1[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i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>log])</w:t>
      </w:r>
      <w:r>
        <w:rPr>
          <w:rtl w:val="0"/>
        </w:rPr>
        <w:t>.</w:t>
      </w: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1775296</wp:posOffset>
                </wp:positionH>
                <wp:positionV relativeFrom="line">
                  <wp:posOffset>222266</wp:posOffset>
                </wp:positionV>
                <wp:extent cx="904025" cy="19048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025" cy="190481"/>
                          <a:chOff x="0" y="0"/>
                          <a:chExt cx="904024" cy="19048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4538" y="5276"/>
                            <a:ext cx="897179" cy="87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 flipH="1">
                            <a:off x="902651" y="10545"/>
                            <a:ext cx="1374" cy="1799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 flipH="1">
                            <a:off x="0" y="0"/>
                            <a:ext cx="1" cy="1581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139.8pt;margin-top:17.5pt;width:71.2pt;height:15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904025,190480">
                <w10:wrap type="none" side="bothSides" anchorx="margin"/>
                <v:line id="_x0000_s1035" style="position:absolute;left:4538;top:5277;width:897178;height:877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36" style="position:absolute;left:902652;top:10545;width:1373;height:17993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/v:line>
                <v:line id="_x0000_s1037" style="position:absolute;left:0;top:0;width:0;height:15814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(3)</w:t>
        <w:tab/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Только я сказал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>-1 [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i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 xml:space="preserve">log],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что я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vertAlign w:val="subscript"/>
          <w:rtl w:val="0"/>
          <w14:textFill>
            <w14:solidFill>
              <w14:srgbClr w14:val="1F1F1F"/>
            </w14:solidFill>
          </w14:textFill>
        </w:rPr>
        <w:t>1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 xml:space="preserve"> [</w:t>
      </w:r>
      <w:r>
        <w:rPr>
          <w:rFonts w:ascii="Times New Roman" w:hAnsi="Times New Roman"/>
          <w:i w:val="1"/>
          <w:iCs w:val="1"/>
          <w:strike w:val="1"/>
          <w:dstrike w:val="0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u</w:t>
      </w:r>
      <w:r>
        <w:rPr>
          <w:rFonts w:ascii="Times New Roman" w:hAnsi="Times New Roman"/>
          <w:strike w:val="1"/>
          <w:dstrike w:val="0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log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 xml:space="preserve">]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гуляю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</w:t>
      </w:r>
    </w:p>
    <w:p>
      <w:pPr>
        <w:pStyle w:val="Body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Притяжательные местоимения как антецеденты</w:t>
      </w:r>
      <w:r>
        <w:rPr>
          <w:rFonts w:ascii="Times New Roman" w:hAnsi="Times New Roman"/>
          <w:b w:val="1"/>
          <w:b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 Мы можем расширить принятый анализ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чтобы учитывать контексты с притяжательными местоимениями в качестве антецедентов личных местоимений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где семантического связывания не возникает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: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(4)</w:t>
        <w:tab/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Только мои родители едят то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что я готовлю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В таких контекстах матричный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vP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не согласуется с притяжательным местоимением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он не может передать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da-DK"/>
          <w14:textFill>
            <w14:solidFill>
              <w14:srgbClr w14:val="1F1F1F"/>
            </w14:solidFill>
          </w14:textFill>
        </w:rPr>
        <w:t>D-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признак через вершину С субъекту вложенной клаузы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поэтому связывание не возникает даже в контекстах с предикатами пропозициональной установки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</w:t>
      </w:r>
    </w:p>
    <w:p>
      <w:pPr>
        <w:pStyle w:val="Body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Выводы</w:t>
      </w:r>
      <w:r>
        <w:rPr>
          <w:rFonts w:ascii="Times New Roman" w:hAnsi="Times New Roman"/>
          <w:b w:val="1"/>
          <w:b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В настоящем исследовании мы описываем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 xml:space="preserve">в каких синтаксических контекстах связанная интерпретация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1-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го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/2-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го лица в русском языке возникает с бóльшей вероятностью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и объясняем возможные причины этого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Нулевые местоимения связаны во всех типах предложений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в то время как выраженные местоимения связаны только в сентенциальных аргументах и действуют как логофорические местоимения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начинающиеся с неозначенным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log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признаком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Притяжательные местоимения никогда не могут быть антецедентом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потому что они не могут передавать свои признаки матричному предикату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  <w:br w:type="textWrapping"/>
      </w:r>
      <w:r>
        <w:rPr>
          <w:rFonts w:ascii="Times New Roman" w:hAnsi="Times New Roman" w:hint="default"/>
          <w:b w:val="1"/>
          <w:bCs w:val="1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Литература</w:t>
      </w:r>
      <w:r>
        <w:rPr>
          <w:rFonts w:ascii="Times New Roman" w:hAnsi="Times New Roman"/>
          <w:b w:val="1"/>
          <w:bCs w:val="1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: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 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 xml:space="preserve">Holmberg, A. and Sheehan, M. Control into finite clauses in partial null-subject languages. // 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>Parametric variation: Null subjects in minimalist theory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 2010. P. 125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–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152.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 xml:space="preserve">Kratzer, A. Making a pronoun: Fake indexicals as windows into the properties of pronouns. // 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:lang w:val="fr-FR"/>
          <w14:textFill>
            <w14:solidFill>
              <w14:srgbClr w14:val="1F1F1F"/>
            </w14:solidFill>
          </w14:textFill>
        </w:rPr>
        <w:t>Linguistic Inquiry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 2009. 40(2): 187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–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237. </w:t>
      </w:r>
    </w:p>
    <w:p>
      <w:pPr>
        <w:pStyle w:val="Body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Schlenker, P. 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>Studies in Linguistics and Philosophy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>. PhD thesis, MIT, Cambridge. 1999.</w:t>
      </w:r>
    </w:p>
    <w:p>
      <w:pPr>
        <w:pStyle w:val="Body"/>
        <w:spacing w:line="240" w:lineRule="auto"/>
        <w:jc w:val="both"/>
      </w:pP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 xml:space="preserve">Shushurin, P. Null pronouns in russian embedded clauses. // </w:t>
      </w:r>
      <w:r>
        <w:rPr>
          <w:rFonts w:ascii="Times New Roman" w:hAnsi="Times New Roman"/>
          <w:i w:val="1"/>
          <w:iCs w:val="1"/>
          <w:outline w:val="0"/>
          <w:color w:val="1f1f1f"/>
          <w:sz w:val="24"/>
          <w:szCs w:val="24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>Studies in Linguistics and Philosophy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>. 2018.  99: 145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rtl w:val="0"/>
          <w:lang w:val="ru-RU"/>
          <w14:textFill>
            <w14:solidFill>
              <w14:srgbClr w14:val="1F1F1F"/>
            </w14:solidFill>
          </w14:textFill>
        </w:rPr>
        <w:t>–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  <w:t xml:space="preserve">169.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1133" w:footer="113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