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xmlns:wp14="http://schemas.microsoft.com/office/word/2010/wordprocessingDrawing" xmlns:wpi="http://schemas.microsoft.com/office/word/2010/wordprocessingInk" xmlns:aink="http://schemas.microsoft.com/office/drawing/2016/ink">
  <w:body>
    <w:p>
      <w:pPr>
        <w:ind w:left="1360" w:right="1360" w:firstLine="396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rtl w:val="off"/>
        </w:rPr>
        <w:t>Роль медиа в антиутопиях (на примере трилогии С. Коллинз «Голодные игры»)</w:t>
      </w:r>
    </w:p>
    <w:p>
      <w:pPr>
        <w:ind w:left="1360" w:right="1360" w:firstLine="396"/>
        <w:jc w:val="center"/>
        <w:rPr>
          <w:rFonts w:ascii="Times New Roman" w:cs="Times New Roman" w:eastAsia="Times New Roman" w:hAnsi="Times New Roman"/>
          <w:b/>
          <w:i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  <w:rtl w:val="off"/>
        </w:rPr>
        <w:t xml:space="preserve">Гасанова Айнур Гусейновна </w:t>
      </w:r>
    </w:p>
    <w:p>
      <w:pPr>
        <w:ind w:left="1360" w:right="1360" w:firstLine="396"/>
        <w:jc w:val="center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  <w:rtl w:val="off"/>
        </w:rPr>
        <w:t xml:space="preserve">Студентка 4 курса </w:t>
      </w:r>
    </w:p>
    <w:p>
      <w:pPr>
        <w:ind w:left="1360" w:right="1360" w:firstLine="396"/>
        <w:jc w:val="center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  <w:rtl w:val="off"/>
        </w:rPr>
        <w:t xml:space="preserve">Научно-исследовательский университет “Высшая школа экономики”, Факультет гуманитарных наук, Москва, Россия </w:t>
      </w:r>
    </w:p>
    <w:p>
      <w:pPr>
        <w:ind w:left="1360" w:right="1360" w:firstLine="39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off"/>
        </w:rPr>
        <w:t>ayn.gasanova29@gmail.com</w:t>
      </w:r>
    </w:p>
    <w:p>
      <w:pPr>
        <w:ind w:left="1360" w:right="1360" w:firstLine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off"/>
        </w:rPr>
        <w:t xml:space="preserve">Разговор о трилогии С. Коллинз  «Голодные игры», состоящую из  романов «Голодные игры», «И вспыхнет пламя», «Сойка-пересмешница», почти всегда начинается с упоминания ее жанра [6]. Несмотря на всеобщий консенсус по поводу принадлежности романов к жанру подростковой антиутопии, вопрос вызывает то, как «Голодные игры» могут встраиваться в традицию, яркими представителями которой являются 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Мы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 xml:space="preserve"> Е. Замятина, 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1984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 xml:space="preserve"> Дж. Оруэлла, 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О дивный новый мир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 xml:space="preserve"> О. Хаксли и 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451 градус по Фаренгейту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 xml:space="preserve"> Р. Брэдбери. </w:t>
      </w: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  <w:rtl w:val="off"/>
        </w:rPr>
        <w:t xml:space="preserve">Клейс характеризует антиутопию как общество, основанное на страхе и подавлении воли человека и, в широком смысле, построенное на неправильно понятых или доведенных до края идеалах утопии. Так, всеобщие равенство и унификация могут привести к потере индивидуальности, стремление достичь всеобщего согласия -- к потере права голоса и тотальному подчинению [1]. </w:t>
      </w: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>
        <w:rPr>
          <w:rFonts w:ascii="Times New Roman" w:cs="Times New Roman" w:eastAsia="Times New Roman" w:hAnsi="Times New Roman"/>
          <w:sz w:val="26"/>
          <w:szCs w:val="26"/>
          <w:rtl w:val="off"/>
        </w:rPr>
        <w:t xml:space="preserve">Анализ 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rtl w:val="off"/>
        </w:rPr>
        <w:t>Голодных игр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rtl w:val="off"/>
        </w:rPr>
        <w:t xml:space="preserve"> позволяет определить, что с точки зрения построения общества Коллинз скорее выходит из сложившейся литературной традиции: </w:t>
      </w:r>
      <w:r>
        <w:rPr>
          <w:rFonts w:ascii="Times New Roman" w:cs="Times New Roman" w:eastAsia="Times New Roman" w:hAnsi="Times New Roman"/>
          <w:sz w:val="26"/>
          <w:szCs w:val="26"/>
          <w:highlight w:val="white"/>
          <w:rtl w:val="off"/>
        </w:rPr>
        <w:t xml:space="preserve"> государство в трилогии не является тоталитарным – вместо того, чтобы изобразить монолитное общество, Коллинз делит его на несколько частей, каждое из которых представляет собой отдельный мир со своей особой организацией. </w:t>
      </w:r>
      <w:r>
        <w:rPr>
          <w:rFonts w:ascii="Times New Roman" w:cs="Times New Roman" w:eastAsia="Times New Roman" w:hAnsi="Times New Roman"/>
          <w:sz w:val="26"/>
          <w:szCs w:val="26"/>
          <w:highlight w:val="white"/>
          <w:rtl w:val="off"/>
        </w:rPr>
        <w:t xml:space="preserve">Пространства, на которые делится государство Панем в 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highlight w:val="white"/>
          <w:rtl w:val="off"/>
        </w:rPr>
        <w:t>Голодных играх</w:t>
      </w:r>
      <w:r>
        <w:rPr>
          <w:rFonts w:ascii="Times New Roman" w:cs="Times New Roman" w:eastAsia="Times New Roman" w:hAnsi="Times New Roman"/>
          <w:sz w:val="24"/>
          <w:szCs w:val="24"/>
          <w:rtl w:val="off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highlight w:val="white"/>
          <w:rtl w:val="off"/>
        </w:rPr>
        <w:t xml:space="preserve">, оказываются связаны друг с другом посредством </w:t>
      </w:r>
      <w:r>
        <w:rPr>
          <w:rFonts w:ascii="Times New Roman" w:cs="Times New Roman" w:eastAsia="Times New Roman" w:hAnsi="Times New Roman"/>
          <w:i/>
          <w:iCs/>
          <w:sz w:val="26"/>
          <w:szCs w:val="26"/>
          <w:highlight w:val="white"/>
          <w:rtl w:val="off"/>
        </w:rPr>
        <w:t>медиа</w:t>
      </w:r>
      <w:r>
        <w:rPr>
          <w:rFonts w:ascii="Times New Roman" w:cs="Times New Roman" w:eastAsia="Times New Roman" w:hAnsi="Times New Roman"/>
          <w:sz w:val="26"/>
          <w:szCs w:val="26"/>
          <w:highlight w:val="white"/>
          <w:rtl w:val="off"/>
        </w:rPr>
        <w:t xml:space="preserve">, они не существуют отдельно, а являются частью Панема и организуют его особенным, отличным от классических антиутопий образом. </w:t>
      </w: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  <w:rtl w:val="off"/>
        </w:rPr>
        <w:t xml:space="preserve">Тем не менее, в «Голодных играх» есть элементы, позволяющие нам поставить ее в один ряд с классическими романам-антиутопиям, например, контроль над памятью </w:t>
      </w:r>
      <w:r>
        <w:rPr>
          <w:rFonts w:ascii="Times New Roman" w:cs="Times New Roman" w:eastAsia="Times New Roman" w:hAnsi="Times New Roman"/>
          <w:sz w:val="26"/>
          <w:szCs w:val="26"/>
          <w:highlight w:val="white"/>
          <w:rtl w:val="off"/>
        </w:rPr>
        <w:t>через одни виды медиа, более новые (телекоммуникация), и преодоление этого контроля через другие, более традиционные (устная речь, письмо, книгопечатание). И</w:t>
      </w:r>
      <w:r>
        <w:rPr>
          <w:rFonts w:ascii="Times New Roman" w:cs="Times New Roman" w:eastAsia="Times New Roman" w:hAnsi="Times New Roman"/>
          <w:sz w:val="26"/>
          <w:szCs w:val="26"/>
          <w:rtl w:val="off"/>
        </w:rPr>
        <w:t xml:space="preserve">менно эта двойственность осложняет структуру трилогии и не позволяет с легкостью определить ее жанр. </w:t>
      </w: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>
        <w:rPr>
          <w:rFonts w:ascii="Times New Roman" w:cs="Times New Roman" w:eastAsia="Times New Roman" w:hAnsi="Times New Roman"/>
          <w:sz w:val="26"/>
          <w:szCs w:val="26"/>
          <w:highlight w:val="white"/>
          <w:rtl w:val="off"/>
        </w:rPr>
        <w:t xml:space="preserve">Итак, трилогия Коллинз не полностью встраивается в существующую традицию: интегрируя в тексты старые образы и обращаясь к известным методам, в частности к медиа, она по-новому выстраивает мир дистопии. Проделанная работа представляет перспективы для анализа роли медиа в более поздних антиутопиях, а также исследование трилогии Коллинз с точки зрения ее влияние на развитие жанра. </w:t>
      </w: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  <w:rtl w:val="off"/>
        </w:rPr>
        <w:t xml:space="preserve">Список литературы: </w:t>
      </w:r>
    </w:p>
    <w:p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white"/>
          <w:rtl w:val="off"/>
        </w:rPr>
        <w:t>Claeys G. News from Somewhere: Enhanced Sociability and the Composite Definition of Utopia and Dystopia // History. 2013. Vol. 98. № 2 (330). p. 145–173.</w:t>
      </w:r>
    </w:p>
    <w:p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white"/>
          <w:rtl w:val="off"/>
        </w:rPr>
        <w:t xml:space="preserve">Day H. Simulacra, Sacrifice and Survival in The Hunger Games, Battle Royale, and The Running Man // Of Bread, Blood and The Hunger Games Critical Essays on the Suzanne Collins Trilogy / Ed. by M. F. Pharr, L. A. Clark. Jefferson; North Carolina; L: McFarland &amp; Company, Inc., Publishers, 2012. p. 167–169. </w:t>
      </w:r>
    </w:p>
    <w:p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white"/>
          <w:rtl w:val="off"/>
        </w:rPr>
        <w:t>Finigan T. «Into the Memory Hole»‎: Totalitarianism and Mal d’Archive in Nineteen Eighty-Four and The Handmaid’s Tale // Science Fiction Studies , Vol. 38, No. 3. 2011. p. 435-459</w:t>
      </w:r>
    </w:p>
    <w:p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white"/>
          <w:rtl w:val="off"/>
        </w:rPr>
        <w:t xml:space="preserve">Koenig G. Communal Spectacle Reshaping History and Memory through Violence // Of Bread, Blood and The Hunger Games Critical Essays on the Suzanne Collins Trilogy / Ed. by M. F. Pharr, L. A. Clark. Jefferson, North Carolina, London: McFarland &amp; Company, Inc., Publishers, 2012. p. 39–49. </w:t>
      </w:r>
    </w:p>
    <w:p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white"/>
          <w:rtl w:val="off"/>
        </w:rPr>
        <w:t>Of Bread, Blood and The Hunger Games Critical Essays on the Suzanne Collins Trilogy / Ed. by M. F. Pharr, L. A. Clark. Jefferson, North Carolina, London: McFarland &amp; Company, Inc., Publishers, 2012.</w:t>
      </w:r>
    </w:p>
    <w:p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white"/>
          <w:rtl w:val="off"/>
        </w:rPr>
        <w:t xml:space="preserve">Ong W. J. Orality and Literacy. The Technologizing of the Word. L.; NY: Routledge. Taylor &amp; Francis Group. </w:t>
      </w:r>
    </w:p>
    <w:p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white"/>
          <w:rtl w:val="off"/>
        </w:rPr>
        <w:t xml:space="preserve"> Syvertsen T. Evil Media In Dystopian Fiction // Media Resistance. Protest, Dislike, Abstention. Oslo: Palgrave Macmillan, 2017. </w:t>
      </w:r>
    </w:p>
    <w:p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white"/>
          <w:rtl w:val="off"/>
        </w:rPr>
        <w:t xml:space="preserve">Бодрияр Ж. Симулякры и симуляции. М.: Постум, 2015. </w:t>
      </w:r>
    </w:p>
    <w:p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white"/>
          <w:rtl w:val="off"/>
        </w:rPr>
        <w:t xml:space="preserve">Дебре Р. Введение в медиологию / Пер. с франц. Б.М. Скуратова. М.: Праксис, 2010. </w:t>
      </w: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</w:p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/>
  <w:font w:name="Times New Roman"/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>
    <w:name w:val="Default Paragraph Font"/>
    <w:uiPriority w:val="1"/>
    <w:semiHidden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</w:style>
  <w:style w:type="table" w:default="1" w:styleId="TableNormal">
    <w:name w:val="Table Normal"/>
    <w:uiPriority w:val="99"/>
  </w:style>
  <w:style w:type="paragraph" w:styleId="Heading1">
    <w:name w:val="Heading 1"/>
    <w:basedOn w:val="Normal"/>
    <w:next w:val="Normal"/>
    <w:uiPriority w:val="99"/>
    <w:pPr>
      <w:keepNext w:val="on"/>
      <w:keepLines w:val="on"/>
      <w:pageBreakBefore w:val="off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99"/>
    <w:pPr>
      <w:keepNext w:val="on"/>
      <w:keepLines w:val="on"/>
      <w:pageBreakBefore w:val="off"/>
      <w:spacing w:before="360" w:after="120"/>
    </w:pPr>
    <w:rPr>
      <w:b w:val="off"/>
      <w:sz w:val="32"/>
      <w:szCs w:val="32"/>
    </w:rPr>
  </w:style>
  <w:style w:type="paragraph" w:styleId="Heading3">
    <w:name w:val="Heading 3"/>
    <w:basedOn w:val="Normal"/>
    <w:next w:val="Normal"/>
    <w:uiPriority w:val="99"/>
    <w:pPr>
      <w:keepNext w:val="on"/>
      <w:keepLines w:val="on"/>
      <w:pageBreakBefore w:val="off"/>
      <w:spacing w:before="320" w:after="80"/>
    </w:pPr>
    <w:rPr>
      <w:b w:val="off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9"/>
    <w:pPr>
      <w:keepNext w:val="on"/>
      <w:keepLines w:val="on"/>
      <w:pageBreakBefore w:val="off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9"/>
    <w:pPr>
      <w:keepNext w:val="on"/>
      <w:keepLines w:val="on"/>
      <w:pageBreakBefore w:val="off"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9"/>
    <w:pPr>
      <w:keepNext w:val="on"/>
      <w:keepLines w:val="on"/>
      <w:pageBreakBefore w:val="off"/>
      <w:spacing w:before="240" w:after="80"/>
    </w:pPr>
    <w:rPr>
      <w:i/>
      <w:color w:val="666666"/>
      <w:sz w:val="22"/>
      <w:szCs w:val="22"/>
    </w:rPr>
  </w:style>
  <w:style w:type="paragraph" w:styleId="Title">
    <w:name w:val="Title"/>
    <w:basedOn w:val="Normal"/>
    <w:next w:val="Normal"/>
    <w:uiPriority w:val="99"/>
    <w:pPr>
      <w:keepNext w:val="on"/>
      <w:keepLines w:val="on"/>
      <w:pageBreakBefore w:val="off"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99"/>
    <w:pPr>
      <w:keepNext w:val="on"/>
      <w:keepLines w:val="on"/>
      <w:pageBreakBefore w:val="off"/>
      <w:spacing w:before="0" w:after="320"/>
    </w:pPr>
    <w:rPr>
      <w:rFonts w:ascii="Arial" w:cs="Arial" w:eastAsia="Arial" w:hAnsi="Arial"/>
      <w:i w:val="off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