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ru-RU"/>
        </w:rPr>
        <w:t xml:space="preserve">Языковое воплощение жанра «театральная программа» в современном театральном дискурсе </w:t>
      </w:r>
    </w:p>
    <w:p>
      <w:pPr>
        <w:pStyle w:val="Normal.0"/>
        <w:spacing w:line="240" w:lineRule="auto"/>
        <w:ind w:firstLine="709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Губанова Ольга Игоревна</w:t>
      </w:r>
    </w:p>
    <w:p>
      <w:pPr>
        <w:pStyle w:val="Normal.0"/>
        <w:spacing w:line="240" w:lineRule="auto"/>
        <w:ind w:firstLine="709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Магистрант Российского университета дружбы народов им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Лумумбы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Россия 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 последние годы театр претерпевает серьезные преобразования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связанные с расширением круга поднимаемых тем и используемых для их передачи средств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 приводит к изменениям в структуре и особенностях реализации театрального дискурса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под которым мы понимаем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«тексты о театре или для театра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пьесы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издания по истории театра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учебные тексты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предназначенные для театральных институтов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афиши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материалы и другие типы текстов»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Груздева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2019: 120].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В связи с этим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 наш взгляд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необходимо обратить внимание на «вторичные» жанры этого явления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 [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подробнее Губанова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2023]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которые помогают в иллюстрации и понимании спектакля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 данной работе нам бы хотелось рассмотреть жанр театральной программы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поскольку она выступает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«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постановкой в миниатюре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»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и дает информацию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как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об одних участниках театрального дискурса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так и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для других членов этого процесса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 обуславливает ряд языковых особенностей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Под языковыми особенностями нами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вслед за 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Шмелевой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понимается языковое воплощение речевого жанра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то есть «спектр возможностей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лексических и грамматических ресурсов жанра»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Шмелева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1997: 96].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Иногда именно они обуславливают желание зрителя приобрести театральную программу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 подтверждается данными проведенного нами опроса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в котором приняло участие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74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респондента от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54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лет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48,6%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опрошенных иногда приобретают театральную программу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а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8,1%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— 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приобретают всегда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 вопрос о факторах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влияющих на желание покупки этого элемента театрального дискурса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вариант «Содержание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интересные факты о личности режиссера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актера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спектакле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» выбрало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40,5%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опрошенных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 говорит о высокой значимости языкового содержания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 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При анализе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52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театральных программ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собранных в театрах Москвы в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2020-2025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нами был отмечен ряд особенностей на лексическом и грамматическом уровнях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 уровне лексики сразу же заметна некоторая клишированность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то есть использование устойчивых или схожих речевых и структурных конструкций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сравним две театральные программы театра Моссовета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рис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.1),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которые были приобретены в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2022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2025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годах соответственно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Сразу же в глаза бросается название учреждения с цифрой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100,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которая призвана подчеркнуть возраст театра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 верхней части программы мы видим название постановки и автора литературного произведения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лежащего в ее основе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Заглянув вовнутрь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зритель сразу же видит повторяющиеся блоки информации и лексический облик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действующие лица и исполнители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или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 в ролях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режиссер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или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режиссер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постановщик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бутафория изготовлена и т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д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Конечно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иногда театральная программа может менять свой вид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 обусловлено спецификой спектакля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однако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лексический облик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как правило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остается неизменной в рамках одного театра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  </w:t>
      </w:r>
    </w:p>
    <w:p>
      <w:pPr>
        <w:pStyle w:val="Normal.0"/>
        <w:spacing w:line="240" w:lineRule="auto"/>
        <w:ind w:firstLine="709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drawing xmlns:a="http://schemas.openxmlformats.org/drawingml/2006/main">
          <wp:inline distT="0" distB="0" distL="0" distR="0">
            <wp:extent cx="3657600" cy="1525949"/>
            <wp:effectExtent l="0" t="0" r="0" b="0"/>
            <wp:docPr id="1073741825" name="officeArt object" descr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1" descr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5259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line="240" w:lineRule="auto"/>
        <w:ind w:firstLine="709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Рис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.1</w:t>
      </w:r>
    </w:p>
    <w:p>
      <w:pPr>
        <w:pStyle w:val="Normal.0"/>
        <w:spacing w:line="240" w:lineRule="auto"/>
        <w:ind w:firstLine="709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Говоря про лексические средства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зритель может отметить некое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желание создателей программ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отразить должность каждого участника постановки как можно точнее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режиссер и режиссер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постановщик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композитор и композитор партий хора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ассистент режиссера и помощники режиссера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Однако эти слова являются специализированной профессиональной лексикой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которая призвана отразить роль каждого в театре и его заслуги в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театральной сфере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которые выражаются в указании присвоенных званий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заслуженный работник культуры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лауреат премии «Золотая маска»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и др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). 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Желание конкретизировать вклад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каждого участника театрального процесса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приводит к ряду особенностей на морфологическом уровне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заметно использованию форм существительных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обозначающих профессии «людей за сценой»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в форме множественного числа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гримеры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бутафоры звукооператоры и др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 также обусловлено ситуацией работы большой команды над постановкой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Также необходимо упомянуть использование страдательных конструкций в ситуациях с «ручным» трудом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бутафория изготовлена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в спектакле использована музыка и др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Интересно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 в последние годы наблюдается тенденция к использованию разделения по полу в случае со словом «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заведующий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>/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ая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чему мы на данный момент не можем найти объяснения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Возможно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это связано с тем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 именно эту лексему легче всего изменить по категории рода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однако не исключаем дальнейшее развитие в данном направлении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Особое внимание стоит уделить категории времени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которая в театральном дискурсе преображается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Здесь мы видим активное использование настоящего вневременного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с помощью которого дается краткая фабула постановки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актрисы Электротеатра говорят о себе словами Антона Павловича Чехова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князь Мышкин очарован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он будет в зрителях и рацио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и чувство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у Татьяны появляется надежда на чудо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переплетаясь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четыре реальности раскрывают полноту пьесы и устройство жизни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При этом оно соседствует с прошедшим временем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которое употребляется для обозначения достижений или иных работ автора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окончил школу для режиссеров и педагогов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в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2006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году сыграл роль Панталоне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учился на физическом факультете МГУ им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М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Ломоносова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работал над спектаклями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). 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краткий анализ языковых особенностей театральной программы показал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насколько целостной она является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 еще раз доказывает правомерность определения театральной программы как важного жанра театрального дискурса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При этом наблюдаются возможности для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развития театральной программы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которые помогут делать этот театральный жанр более интересным и 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тображающим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постановку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Normal.0"/>
        <w:spacing w:line="240" w:lineRule="auto"/>
        <w:ind w:firstLine="709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Литература</w:t>
      </w:r>
    </w:p>
    <w:p>
      <w:pPr>
        <w:pStyle w:val="Normal.0"/>
        <w:spacing w:line="240" w:lineRule="auto"/>
        <w:ind w:firstLine="709"/>
        <w:jc w:val="both"/>
      </w:pP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Груздева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Взаимодействие театрального и других дискурсов в СМИ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примере функционирования тематических метафор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 Московского университета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Серия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Журналистика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2019.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117-134. 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Губанова 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Онлайн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плакат как форма реализации театрального дискурса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Материалы Международного молодежного научного форума «ЛОМОНОСОВ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-2023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Алешковский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Андриянов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Антипов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Зимакова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 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Электронный ресурс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МАКС Пресс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>, 2023. ISBN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sz w:val="24"/>
          <w:szCs w:val="24"/>
          <w:rtl w:val="0"/>
          <w:lang w:val="ru-RU"/>
        </w:rPr>
        <w:t>978-5-317-06952-0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Шмелева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Модель речевого жанра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Жанры речи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1997.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 88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98. </w:t>
      </w:r>
    </w:p>
    <w:sectPr>
      <w:headerReference w:type="default" r:id="rId5"/>
      <w:footerReference w:type="default" r:id="rId6"/>
      <w:pgSz w:w="11900" w:h="16840" w:orient="portrait"/>
      <w:pgMar w:top="1134" w:right="1418" w:bottom="113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9"/>
        </w:tabs>
        <w:ind w:left="1440" w:hanging="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09"/>
        </w:tabs>
        <w:ind w:left="3600" w:hanging="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69"/>
        </w:tabs>
        <w:ind w:left="576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