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2EA" w:rsidRDefault="00D662EA" w:rsidP="00D662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Русский литературный </w:t>
      </w:r>
      <w:proofErr w:type="spellStart"/>
      <w:r>
        <w:rPr>
          <w:rFonts w:ascii="Times New Roman" w:hAnsi="Times New Roman" w:cs="Times New Roman"/>
          <w:b/>
          <w:sz w:val="24"/>
        </w:rPr>
        <w:t>бергсонизм</w:t>
      </w:r>
      <w:proofErr w:type="spellEnd"/>
      <w:r>
        <w:rPr>
          <w:rFonts w:ascii="Times New Roman" w:hAnsi="Times New Roman" w:cs="Times New Roman"/>
          <w:b/>
          <w:sz w:val="24"/>
        </w:rPr>
        <w:t>: исторические интервалы чистой длительности в поэзии О.Э. Мандельштама 1915-1920-х годов</w:t>
      </w:r>
    </w:p>
    <w:p w:rsidR="00D662EA" w:rsidRDefault="00D662EA" w:rsidP="00D662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662EA" w:rsidRPr="00C3632B" w:rsidRDefault="00D662EA" w:rsidP="00D662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C3632B">
        <w:rPr>
          <w:rFonts w:ascii="Times New Roman" w:hAnsi="Times New Roman" w:cs="Times New Roman"/>
          <w:sz w:val="24"/>
        </w:rPr>
        <w:t>Храмова Анна Александровна</w:t>
      </w:r>
    </w:p>
    <w:p w:rsidR="00D662EA" w:rsidRPr="00C3632B" w:rsidRDefault="00D662EA" w:rsidP="00D662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3632B">
        <w:rPr>
          <w:rFonts w:ascii="Times New Roman" w:hAnsi="Times New Roman" w:cs="Times New Roman"/>
          <w:sz w:val="24"/>
        </w:rPr>
        <w:t>тудентка Московского государст</w:t>
      </w:r>
      <w:r>
        <w:rPr>
          <w:rFonts w:ascii="Times New Roman" w:hAnsi="Times New Roman" w:cs="Times New Roman"/>
          <w:sz w:val="24"/>
        </w:rPr>
        <w:t>венного университета имени М.В. </w:t>
      </w:r>
      <w:r w:rsidRPr="00C3632B">
        <w:rPr>
          <w:rFonts w:ascii="Times New Roman" w:hAnsi="Times New Roman" w:cs="Times New Roman"/>
          <w:sz w:val="24"/>
        </w:rPr>
        <w:t>Ломоносова, Москва, Россия</w:t>
      </w:r>
    </w:p>
    <w:p w:rsidR="00D662EA" w:rsidRDefault="00D662EA" w:rsidP="00D662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D662EA" w:rsidRPr="00700C28" w:rsidRDefault="00D662EA" w:rsidP="00D66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28">
        <w:rPr>
          <w:rFonts w:ascii="Times New Roman" w:hAnsi="Times New Roman" w:cs="Times New Roman"/>
          <w:sz w:val="24"/>
          <w:szCs w:val="24"/>
        </w:rPr>
        <w:t>Философский термин «</w:t>
      </w:r>
      <w:proofErr w:type="spellStart"/>
      <w:r w:rsidRPr="00700C28">
        <w:rPr>
          <w:rFonts w:ascii="Times New Roman" w:hAnsi="Times New Roman" w:cs="Times New Roman"/>
          <w:sz w:val="24"/>
          <w:szCs w:val="24"/>
        </w:rPr>
        <w:t>бергсонизм</w:t>
      </w:r>
      <w:proofErr w:type="spellEnd"/>
      <w:r w:rsidRPr="00700C28">
        <w:rPr>
          <w:rFonts w:ascii="Times New Roman" w:hAnsi="Times New Roman" w:cs="Times New Roman"/>
          <w:sz w:val="24"/>
          <w:szCs w:val="24"/>
        </w:rPr>
        <w:t xml:space="preserve">» обязан своим появлением </w:t>
      </w:r>
      <w:r>
        <w:rPr>
          <w:rFonts w:ascii="Times New Roman" w:hAnsi="Times New Roman" w:cs="Times New Roman"/>
          <w:sz w:val="24"/>
          <w:szCs w:val="24"/>
        </w:rPr>
        <w:t xml:space="preserve">одноименной </w:t>
      </w:r>
      <w:r w:rsidRPr="00700C28">
        <w:rPr>
          <w:rFonts w:ascii="Times New Roman" w:hAnsi="Times New Roman" w:cs="Times New Roman"/>
          <w:sz w:val="24"/>
          <w:szCs w:val="24"/>
        </w:rPr>
        <w:t>работе Ж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700C28">
        <w:rPr>
          <w:rFonts w:ascii="Times New Roman" w:hAnsi="Times New Roman" w:cs="Times New Roman"/>
          <w:sz w:val="24"/>
          <w:szCs w:val="24"/>
        </w:rPr>
        <w:t xml:space="preserve">Делеза, которая систематизирует дуальную структуру интуитивизма </w:t>
      </w:r>
      <w:r>
        <w:rPr>
          <w:rFonts w:ascii="Times New Roman" w:hAnsi="Times New Roman" w:cs="Times New Roman"/>
          <w:sz w:val="24"/>
          <w:szCs w:val="24"/>
        </w:rPr>
        <w:t>А. </w:t>
      </w:r>
      <w:r w:rsidRPr="00700C28">
        <w:rPr>
          <w:rFonts w:ascii="Times New Roman" w:hAnsi="Times New Roman" w:cs="Times New Roman"/>
          <w:sz w:val="24"/>
          <w:szCs w:val="24"/>
        </w:rPr>
        <w:t xml:space="preserve">Бергсона. Изучая влияние Бергсона на литературу, важно учитывать принципы «литературного </w:t>
      </w:r>
      <w:proofErr w:type="spellStart"/>
      <w:r w:rsidRPr="00700C28">
        <w:rPr>
          <w:rFonts w:ascii="Times New Roman" w:hAnsi="Times New Roman" w:cs="Times New Roman"/>
          <w:sz w:val="24"/>
          <w:szCs w:val="24"/>
        </w:rPr>
        <w:t>бергсонизма</w:t>
      </w:r>
      <w:proofErr w:type="spellEnd"/>
      <w:r w:rsidRPr="00700C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00C28">
        <w:rPr>
          <w:rFonts w:ascii="Times New Roman" w:hAnsi="Times New Roman" w:cs="Times New Roman"/>
          <w:sz w:val="24"/>
          <w:szCs w:val="24"/>
        </w:rPr>
        <w:t xml:space="preserve"> явления, более подробно исследованного в западноевропейской (особенно французской) литературе. </w:t>
      </w:r>
    </w:p>
    <w:p w:rsidR="00D662EA" w:rsidRDefault="00D662EA" w:rsidP="00D66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28">
        <w:rPr>
          <w:rFonts w:ascii="Times New Roman" w:hAnsi="Times New Roman" w:cs="Times New Roman"/>
          <w:sz w:val="24"/>
          <w:szCs w:val="24"/>
        </w:rPr>
        <w:t xml:space="preserve">Бергсон стал известен во Франции после защиты диссертаций в 1889 году и начала преподавательской карьеры в Коллеж де Франс. Этот год считается точкой отсчета «вторжения литературного </w:t>
      </w:r>
      <w:proofErr w:type="spellStart"/>
      <w:r w:rsidRPr="00700C28">
        <w:rPr>
          <w:rFonts w:ascii="Times New Roman" w:hAnsi="Times New Roman" w:cs="Times New Roman"/>
          <w:sz w:val="24"/>
          <w:szCs w:val="24"/>
        </w:rPr>
        <w:t>бергсонизма</w:t>
      </w:r>
      <w:proofErr w:type="spellEnd"/>
      <w:r w:rsidRPr="00700C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5D6">
        <w:rPr>
          <w:rStyle w:val="docdat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Pr="002665D6">
        <w:rPr>
          <w:rFonts w:ascii="Times New Roman" w:hAnsi="Times New Roman" w:cs="Times New Roman"/>
          <w:sz w:val="24"/>
          <w:szCs w:val="24"/>
          <w:lang w:val="fr-FR"/>
        </w:rPr>
        <w:t>Arbour</w:t>
      </w:r>
      <w:proofErr w:type="spellEnd"/>
      <w:r w:rsidRPr="00266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665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6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227]</w:t>
      </w:r>
      <w:r w:rsidRPr="00700C28">
        <w:rPr>
          <w:rFonts w:ascii="Times New Roman" w:hAnsi="Times New Roman" w:cs="Times New Roman"/>
          <w:sz w:val="24"/>
          <w:szCs w:val="24"/>
        </w:rPr>
        <w:t>. В академической среде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Pr="00700C28">
        <w:rPr>
          <w:rFonts w:ascii="Times New Roman" w:hAnsi="Times New Roman" w:cs="Times New Roman"/>
          <w:sz w:val="24"/>
          <w:szCs w:val="24"/>
        </w:rPr>
        <w:t xml:space="preserve">признавался ведущим философом, но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700C28">
        <w:rPr>
          <w:rFonts w:ascii="Times New Roman" w:hAnsi="Times New Roman" w:cs="Times New Roman"/>
          <w:sz w:val="24"/>
          <w:szCs w:val="24"/>
        </w:rPr>
        <w:t xml:space="preserve">популярность среди широкой публики переживала взлеты и падения. После публикации «Творческой эволюции» (1907) интерес к его философии резко возрос. Лекции Бергсона посещал весь «высший свет Парижа», что способствовало популяризации его идей, но сам философ критически относился к такому «светскому </w:t>
      </w:r>
      <w:proofErr w:type="spellStart"/>
      <w:r w:rsidRPr="002665D6">
        <w:rPr>
          <w:rFonts w:ascii="Times New Roman" w:hAnsi="Times New Roman" w:cs="Times New Roman"/>
          <w:sz w:val="24"/>
          <w:szCs w:val="24"/>
        </w:rPr>
        <w:t>бергсонизму</w:t>
      </w:r>
      <w:proofErr w:type="spellEnd"/>
      <w:r w:rsidRPr="002665D6">
        <w:rPr>
          <w:rFonts w:ascii="Times New Roman" w:hAnsi="Times New Roman" w:cs="Times New Roman"/>
          <w:sz w:val="24"/>
          <w:szCs w:val="24"/>
        </w:rPr>
        <w:t>»</w:t>
      </w:r>
      <w:r w:rsidRPr="002665D6">
        <w:rPr>
          <w:rStyle w:val="10"/>
          <w:rFonts w:eastAsiaTheme="minorHAnsi" w:cs="Times New Roman"/>
          <w:color w:val="000000"/>
          <w:szCs w:val="24"/>
          <w:shd w:val="clear" w:color="auto" w:fill="FFFFFF"/>
        </w:rPr>
        <w:t xml:space="preserve"> </w:t>
      </w:r>
      <w:r w:rsidRPr="002665D6">
        <w:rPr>
          <w:rStyle w:val="docdat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sz w:val="24"/>
          <w:szCs w:val="24"/>
        </w:rPr>
        <w:t>Там же</w:t>
      </w:r>
      <w:r w:rsidRPr="00266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665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6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227]</w:t>
      </w:r>
      <w:r w:rsidRPr="00700C28">
        <w:rPr>
          <w:rFonts w:ascii="Times New Roman" w:hAnsi="Times New Roman" w:cs="Times New Roman"/>
          <w:sz w:val="24"/>
          <w:szCs w:val="24"/>
        </w:rPr>
        <w:t>. К 1911 году его концепция подверглась критике, отчасти из-за антисемитских настроений, а также из-за расхождений с другими философами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2EA" w:rsidRDefault="00D662EA" w:rsidP="00D66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28">
        <w:rPr>
          <w:rFonts w:ascii="Times New Roman" w:hAnsi="Times New Roman" w:cs="Times New Roman"/>
          <w:sz w:val="24"/>
          <w:szCs w:val="24"/>
        </w:rPr>
        <w:t xml:space="preserve">В России труды Бергсона получили признание после тщательного анализа русскими философами, такими как С. Л. Франк, С. А. Аскольдов и Н. О. </w:t>
      </w:r>
      <w:proofErr w:type="spellStart"/>
      <w:r w:rsidRPr="00700C28">
        <w:rPr>
          <w:rFonts w:ascii="Times New Roman" w:hAnsi="Times New Roman" w:cs="Times New Roman"/>
          <w:sz w:val="24"/>
          <w:szCs w:val="24"/>
        </w:rPr>
        <w:t>Лосский.</w:t>
      </w:r>
      <w:proofErr w:type="spellEnd"/>
    </w:p>
    <w:p w:rsidR="00D662EA" w:rsidRPr="00EA56CD" w:rsidRDefault="00D662EA" w:rsidP="00D66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28">
        <w:rPr>
          <w:rFonts w:ascii="Times New Roman" w:hAnsi="Times New Roman" w:cs="Times New Roman"/>
          <w:sz w:val="24"/>
          <w:szCs w:val="24"/>
        </w:rPr>
        <w:t xml:space="preserve">Русский интуитивизм отличался от </w:t>
      </w:r>
      <w:proofErr w:type="spellStart"/>
      <w:r w:rsidRPr="00700C28">
        <w:rPr>
          <w:rFonts w:ascii="Times New Roman" w:hAnsi="Times New Roman" w:cs="Times New Roman"/>
          <w:sz w:val="24"/>
          <w:szCs w:val="24"/>
        </w:rPr>
        <w:t>бергсонизма</w:t>
      </w:r>
      <w:proofErr w:type="spellEnd"/>
      <w:r w:rsidRPr="00700C28">
        <w:rPr>
          <w:rFonts w:ascii="Times New Roman" w:hAnsi="Times New Roman" w:cs="Times New Roman"/>
          <w:sz w:val="24"/>
          <w:szCs w:val="24"/>
        </w:rPr>
        <w:t xml:space="preserve"> в нескольких аспектах. Во-первых, в русской традиции акцент делался на оппозиции «я» и «не-я», что противоречило </w:t>
      </w:r>
      <w:proofErr w:type="spellStart"/>
      <w:r w:rsidRPr="00700C28">
        <w:rPr>
          <w:rFonts w:ascii="Times New Roman" w:hAnsi="Times New Roman" w:cs="Times New Roman"/>
          <w:sz w:val="24"/>
          <w:szCs w:val="24"/>
        </w:rPr>
        <w:t>бергсоновскому</w:t>
      </w:r>
      <w:proofErr w:type="spellEnd"/>
      <w:r w:rsidRPr="00700C28">
        <w:rPr>
          <w:rFonts w:ascii="Times New Roman" w:hAnsi="Times New Roman" w:cs="Times New Roman"/>
          <w:sz w:val="24"/>
          <w:szCs w:val="24"/>
        </w:rPr>
        <w:t xml:space="preserve"> пониманию субъекта как части общего потока сознания. Во-вторых, память в русском интуитивизме играла роль призмы, преломляющей реа</w:t>
      </w:r>
      <w:r w:rsidRPr="00EA56CD">
        <w:rPr>
          <w:rFonts w:ascii="Times New Roman" w:hAnsi="Times New Roman" w:cs="Times New Roman"/>
          <w:sz w:val="24"/>
          <w:szCs w:val="24"/>
        </w:rPr>
        <w:t>льность, а не просто инструмента воспроизведения времени. Эти различия повлияли на восприятие Бергсона в России и его влияние на литературу.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EA" w:rsidRDefault="00D662EA" w:rsidP="00D66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6CD">
        <w:rPr>
          <w:rFonts w:ascii="Times New Roman" w:hAnsi="Times New Roman" w:cs="Times New Roman"/>
          <w:sz w:val="24"/>
          <w:szCs w:val="24"/>
        </w:rPr>
        <w:t xml:space="preserve">Литературный </w:t>
      </w:r>
      <w:proofErr w:type="spellStart"/>
      <w:r w:rsidRPr="00EA56CD">
        <w:rPr>
          <w:rFonts w:ascii="Times New Roman" w:hAnsi="Times New Roman" w:cs="Times New Roman"/>
          <w:sz w:val="24"/>
          <w:szCs w:val="24"/>
        </w:rPr>
        <w:t>бергсонизм</w:t>
      </w:r>
      <w:proofErr w:type="spellEnd"/>
      <w:r w:rsidRPr="00EA56CD">
        <w:rPr>
          <w:rFonts w:ascii="Times New Roman" w:hAnsi="Times New Roman" w:cs="Times New Roman"/>
          <w:sz w:val="24"/>
          <w:szCs w:val="24"/>
        </w:rPr>
        <w:t xml:space="preserve"> в России проявился в творчестве писателей и поэтов Серебряного века, которые стремились соединить философские идеи с художественными образами. Память и интуиция, ключевые элементы </w:t>
      </w:r>
      <w:proofErr w:type="spellStart"/>
      <w:r w:rsidRPr="00EA56CD">
        <w:rPr>
          <w:rFonts w:ascii="Times New Roman" w:hAnsi="Times New Roman" w:cs="Times New Roman"/>
          <w:sz w:val="24"/>
          <w:szCs w:val="24"/>
        </w:rPr>
        <w:t>бергсонизма</w:t>
      </w:r>
      <w:proofErr w:type="spellEnd"/>
      <w:r w:rsidRPr="00EA56CD">
        <w:rPr>
          <w:rFonts w:ascii="Times New Roman" w:hAnsi="Times New Roman" w:cs="Times New Roman"/>
          <w:sz w:val="24"/>
          <w:szCs w:val="24"/>
        </w:rPr>
        <w:t xml:space="preserve">, стали основой для создания символов и образов в поэзии. Анализ литературных произведений через призму </w:t>
      </w:r>
      <w:proofErr w:type="spellStart"/>
      <w:r w:rsidRPr="00EA56CD">
        <w:rPr>
          <w:rFonts w:ascii="Times New Roman" w:hAnsi="Times New Roman" w:cs="Times New Roman"/>
          <w:sz w:val="24"/>
          <w:szCs w:val="24"/>
        </w:rPr>
        <w:t>бергсонизма</w:t>
      </w:r>
      <w:proofErr w:type="spellEnd"/>
      <w:r w:rsidRPr="00EA56CD">
        <w:rPr>
          <w:rFonts w:ascii="Times New Roman" w:hAnsi="Times New Roman" w:cs="Times New Roman"/>
          <w:sz w:val="24"/>
          <w:szCs w:val="24"/>
        </w:rPr>
        <w:t xml:space="preserve"> позволяет выявить взаимодействие философских и художественных элементов, что особенно важно для понимания творчества О. Э. Мандельштама. </w:t>
      </w:r>
    </w:p>
    <w:p w:rsidR="00D662EA" w:rsidRPr="00737C36" w:rsidRDefault="00D662EA" w:rsidP="00D66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лирике 1915-1920 годов темы памяти и истории продолжает волновать поэта. Для него город с вековой историей становится интуитивной точкой отсчета поэтического существования, которое замыкается в чистую длительность. </w:t>
      </w:r>
    </w:p>
    <w:p w:rsidR="00D662EA" w:rsidRPr="00737C36" w:rsidRDefault="00D662EA" w:rsidP="00D66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C36">
        <w:rPr>
          <w:rFonts w:ascii="Times New Roman" w:hAnsi="Times New Roman" w:cs="Times New Roman"/>
          <w:color w:val="000000" w:themeColor="text1"/>
          <w:sz w:val="24"/>
          <w:szCs w:val="24"/>
        </w:rPr>
        <w:t>При анализе стихотворени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737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Мандельштама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7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использован принцип контрапункта для схематичного изображения соотнесенности формант мысли в поэтическом тексте. Этот принцип, заимствованный из теории музыки, не нов для литературоведения: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Б.М. </w:t>
      </w:r>
      <w:r w:rsidRPr="00737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Гаспаров в работе «Литературные лейтмотивы» применял его для анализа временных парадигм в романе Пастернака «Доктор Живаго». Мы предлагаем использовать контрапункт для изучения философско-эстетической содержательности текстов Мандельштама, акцентируя внимание на взаимодействии формант мысли. Этот метод позволяет выявить сложные связи между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философскими и поэтическими образами, которые формируют философско-эстетическую составляющую текста.</w:t>
      </w:r>
    </w:p>
    <w:p w:rsidR="00D662EA" w:rsidRPr="00EA56CD" w:rsidRDefault="00D662EA" w:rsidP="00D66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6CD">
        <w:rPr>
          <w:rFonts w:ascii="Times New Roman" w:hAnsi="Times New Roman" w:cs="Times New Roman"/>
          <w:sz w:val="24"/>
          <w:szCs w:val="24"/>
        </w:rPr>
        <w:t>Среди текстов, помещенных в сборник «</w:t>
      </w:r>
      <w:proofErr w:type="spellStart"/>
      <w:r w:rsidRPr="00EA56CD">
        <w:rPr>
          <w:rFonts w:ascii="Times New Roman" w:hAnsi="Times New Roman" w:cs="Times New Roman"/>
          <w:sz w:val="24"/>
          <w:szCs w:val="24"/>
          <w:lang w:val="en-US"/>
        </w:rPr>
        <w:t>Tristia</w:t>
      </w:r>
      <w:proofErr w:type="spellEnd"/>
      <w:r w:rsidRPr="00EA56C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(1922)</w:t>
      </w:r>
      <w:r w:rsidRPr="00EA56CD">
        <w:rPr>
          <w:rFonts w:ascii="Times New Roman" w:hAnsi="Times New Roman" w:cs="Times New Roman"/>
          <w:sz w:val="24"/>
          <w:szCs w:val="24"/>
        </w:rPr>
        <w:t xml:space="preserve">, образ забытого Богом Рима и </w:t>
      </w:r>
      <w:proofErr w:type="spellStart"/>
      <w:r w:rsidRPr="00EA56CD">
        <w:rPr>
          <w:rFonts w:ascii="Times New Roman" w:hAnsi="Times New Roman" w:cs="Times New Roman"/>
          <w:sz w:val="24"/>
          <w:szCs w:val="24"/>
        </w:rPr>
        <w:t>эллинства</w:t>
      </w:r>
      <w:proofErr w:type="spellEnd"/>
      <w:r w:rsidRPr="00EA56CD">
        <w:rPr>
          <w:rFonts w:ascii="Times New Roman" w:hAnsi="Times New Roman" w:cs="Times New Roman"/>
          <w:sz w:val="24"/>
          <w:szCs w:val="24"/>
        </w:rPr>
        <w:t xml:space="preserve"> находит свое отражение в цикле «Петрополь». Само название Санкт-</w:t>
      </w:r>
      <w:r w:rsidRPr="00EA56CD">
        <w:rPr>
          <w:rFonts w:ascii="Times New Roman" w:hAnsi="Times New Roman" w:cs="Times New Roman"/>
          <w:sz w:val="24"/>
          <w:szCs w:val="24"/>
        </w:rPr>
        <w:lastRenderedPageBreak/>
        <w:t xml:space="preserve">Петербурга, построенное на эллинистический лад, говорит о тесном сходстве для поэтической картины мира Мандельштама этих двух «мировых держав». Во втором стихотворении цикла мы впервые встречаемся с характерным для поэтических текстов, посвященных римской и греческой культуре, смешением наименований, относящихся к разным верованиям. Например, в одном четверостишье соседствует древнеримская богиня подземного царства Прозерпина и древнегреческая богиня мудрости Афина. Созвучный с Акрополем, самой укрепленной и защищенной частью древнегреческого города, так называемым «верхним городом», Петрополь из царства вышедшей из морской пучины, океана времени Афины превращается в подземное царство Прозерпины. Подобная контаминация, с одной стороны, может расцениваться как попытка возвышения римской культуры над греческой, а с другой стороны как попытка отразить тесную связь всех жизненных интервалов в ходе чистой длительности Вечности. </w:t>
      </w:r>
    </w:p>
    <w:p w:rsidR="00D662EA" w:rsidRPr="00EA56CD" w:rsidRDefault="00D662EA" w:rsidP="00D66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6CD">
        <w:rPr>
          <w:rFonts w:ascii="Times New Roman" w:hAnsi="Times New Roman" w:cs="Times New Roman"/>
          <w:sz w:val="24"/>
          <w:szCs w:val="24"/>
        </w:rPr>
        <w:t xml:space="preserve">Как уже было отмечено ранее, для Мандельштама и Бергсона под эллинизмом кроется стремление к новому типу мышления (неинтеллектуальному в своей основе, близкому к римской культуре). В связи с этим для нас большой интерес представляет стихотворение «Собирались эллины войною…» (1916). Основой данного текста становится история </w:t>
      </w:r>
      <w:proofErr w:type="spellStart"/>
      <w:r w:rsidRPr="00EA56CD">
        <w:rPr>
          <w:rFonts w:ascii="Times New Roman" w:hAnsi="Times New Roman" w:cs="Times New Roman"/>
          <w:sz w:val="24"/>
          <w:szCs w:val="24"/>
        </w:rPr>
        <w:t>Саламинских</w:t>
      </w:r>
      <w:proofErr w:type="spellEnd"/>
      <w:r w:rsidRPr="00EA56CD">
        <w:rPr>
          <w:rFonts w:ascii="Times New Roman" w:hAnsi="Times New Roman" w:cs="Times New Roman"/>
          <w:sz w:val="24"/>
          <w:szCs w:val="24"/>
        </w:rPr>
        <w:t xml:space="preserve"> войн, которые шли между Афинами и Мегарой в </w:t>
      </w:r>
      <w:r w:rsidRPr="00EA56C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A56CD">
        <w:rPr>
          <w:rFonts w:ascii="Times New Roman" w:hAnsi="Times New Roman" w:cs="Times New Roman"/>
          <w:sz w:val="24"/>
          <w:szCs w:val="24"/>
        </w:rPr>
        <w:t>-</w:t>
      </w:r>
      <w:r w:rsidRPr="00EA56C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A56CD">
        <w:rPr>
          <w:rFonts w:ascii="Times New Roman" w:hAnsi="Times New Roman" w:cs="Times New Roman"/>
          <w:sz w:val="24"/>
          <w:szCs w:val="24"/>
        </w:rPr>
        <w:t xml:space="preserve"> век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A56CD">
        <w:rPr>
          <w:rFonts w:ascii="Times New Roman" w:hAnsi="Times New Roman" w:cs="Times New Roman"/>
          <w:sz w:val="24"/>
          <w:szCs w:val="24"/>
        </w:rPr>
        <w:t xml:space="preserve"> до н.э. Создается впечатление, что снаряжающие российские корабли «друзья-островитяне»</w:t>
      </w:r>
      <w:r w:rsidRPr="002665D6">
        <w:rPr>
          <w:rStyle w:val="docdat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Мандельштам</w:t>
      </w:r>
      <w:r w:rsidRPr="00266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665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</w:t>
      </w:r>
      <w:r w:rsidRPr="00266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EA56CD">
        <w:rPr>
          <w:rFonts w:ascii="Times New Roman" w:hAnsi="Times New Roman" w:cs="Times New Roman"/>
          <w:sz w:val="24"/>
          <w:szCs w:val="24"/>
        </w:rPr>
        <w:t>, не любившие ранее европейскую землю, должны вспомнить период, когда их страна была частью великой Римской империи</w:t>
      </w:r>
      <w:r w:rsidR="00C70925">
        <w:rPr>
          <w:rFonts w:ascii="Times New Roman" w:hAnsi="Times New Roman" w:cs="Times New Roman"/>
          <w:sz w:val="24"/>
          <w:szCs w:val="24"/>
        </w:rPr>
        <w:t xml:space="preserve">. </w:t>
      </w:r>
      <w:r w:rsidRPr="00EA56CD">
        <w:rPr>
          <w:rFonts w:ascii="Times New Roman" w:hAnsi="Times New Roman" w:cs="Times New Roman"/>
          <w:sz w:val="24"/>
          <w:szCs w:val="24"/>
        </w:rPr>
        <w:t>Поэтому сопоставление Европы с новой Элладой лишь подчеркивает желание поэта напомнить о тесной связи временных интервалов, об их влиянии на течение времени и истории, о необходимости параллельного хода двух частей песочных часов, который подчеркивает единое вечное сосуществование всех людей, стран и государств в общем «океане времени». Подобная попытка обуздать историческое течение времени интуитивным осмыслением при помощи поэтического искусства делает Мандельштама похожим на «безумствующего эллина</w:t>
      </w:r>
      <w:r w:rsidR="00C70925">
        <w:rPr>
          <w:rFonts w:ascii="Times New Roman" w:hAnsi="Times New Roman" w:cs="Times New Roman"/>
          <w:sz w:val="24"/>
          <w:szCs w:val="24"/>
        </w:rPr>
        <w:t>».</w:t>
      </w:r>
    </w:p>
    <w:p w:rsidR="00D662EA" w:rsidRPr="00700C28" w:rsidRDefault="00D662EA" w:rsidP="00D66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28">
        <w:rPr>
          <w:rFonts w:ascii="Times New Roman" w:hAnsi="Times New Roman" w:cs="Times New Roman"/>
          <w:sz w:val="24"/>
          <w:szCs w:val="24"/>
        </w:rPr>
        <w:t xml:space="preserve">Таким образом, русский литературный </w:t>
      </w:r>
      <w:proofErr w:type="spellStart"/>
      <w:r w:rsidRPr="00700C28">
        <w:rPr>
          <w:rFonts w:ascii="Times New Roman" w:hAnsi="Times New Roman" w:cs="Times New Roman"/>
          <w:sz w:val="24"/>
          <w:szCs w:val="24"/>
        </w:rPr>
        <w:t>бергсонизм</w:t>
      </w:r>
      <w:proofErr w:type="spellEnd"/>
      <w:r w:rsidRPr="00700C28">
        <w:rPr>
          <w:rFonts w:ascii="Times New Roman" w:hAnsi="Times New Roman" w:cs="Times New Roman"/>
          <w:sz w:val="24"/>
          <w:szCs w:val="24"/>
        </w:rPr>
        <w:t xml:space="preserve"> представляет собой явление, сочетающее философские идеи Бергсона с национальной традицией. Его изучение требует учета как философских, так и литературных аспектов, что позволяет глубже понять влияние на русскую культуру.</w:t>
      </w:r>
    </w:p>
    <w:p w:rsidR="00D662EA" w:rsidRPr="00700C28" w:rsidRDefault="00D662EA" w:rsidP="00D662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62EA" w:rsidRDefault="00D662EA" w:rsidP="00D662E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D662EA" w:rsidRPr="002665D6" w:rsidRDefault="00D662EA" w:rsidP="00D662EA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2EA" w:rsidRPr="002665D6" w:rsidRDefault="00D662EA" w:rsidP="00D662E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5D6">
        <w:rPr>
          <w:rFonts w:ascii="Times New Roman" w:hAnsi="Times New Roman"/>
          <w:i/>
          <w:sz w:val="24"/>
          <w:szCs w:val="24"/>
        </w:rPr>
        <w:t>Бергсон А.</w:t>
      </w:r>
      <w:r w:rsidRPr="002665D6">
        <w:rPr>
          <w:rFonts w:ascii="Times New Roman" w:hAnsi="Times New Roman"/>
          <w:sz w:val="24"/>
          <w:szCs w:val="24"/>
        </w:rPr>
        <w:t xml:space="preserve"> Творческая эволюция. М., 2019.</w:t>
      </w:r>
    </w:p>
    <w:p w:rsidR="00D662EA" w:rsidRPr="002665D6" w:rsidRDefault="00D662EA" w:rsidP="00D662E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5D6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Мандельштам О.Э.</w:t>
      </w:r>
      <w:r w:rsidRPr="002665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Стихотворения. Проза. М., 2017.</w:t>
      </w:r>
    </w:p>
    <w:p w:rsidR="00D662EA" w:rsidRPr="002665D6" w:rsidRDefault="00D662EA" w:rsidP="00D662E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665D6">
        <w:rPr>
          <w:rFonts w:ascii="Times New Roman" w:hAnsi="Times New Roman" w:cs="Times New Roman"/>
          <w:sz w:val="24"/>
          <w:szCs w:val="24"/>
          <w:lang w:val="fr-FR"/>
        </w:rPr>
        <w:t>Arbour</w:t>
      </w:r>
      <w:proofErr w:type="spellEnd"/>
      <w:r w:rsidRPr="002665D6">
        <w:rPr>
          <w:rFonts w:ascii="Times New Roman" w:hAnsi="Times New Roman" w:cs="Times New Roman"/>
          <w:sz w:val="24"/>
          <w:szCs w:val="24"/>
          <w:lang w:val="fr-FR"/>
        </w:rPr>
        <w:t xml:space="preserve"> R. Le bergsonisme dans la littérature française</w:t>
      </w:r>
      <w:r w:rsidRPr="004178E8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2665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665D6">
        <w:rPr>
          <w:rFonts w:ascii="Times New Roman" w:hAnsi="Times New Roman" w:cs="Times New Roman"/>
          <w:color w:val="343332"/>
          <w:spacing w:val="-5"/>
          <w:sz w:val="24"/>
          <w:szCs w:val="24"/>
          <w:lang w:val="fr-FR"/>
        </w:rPr>
        <w:t>Revue Internationale de Philosophie</w:t>
      </w:r>
      <w:r w:rsidRPr="004178E8">
        <w:rPr>
          <w:rFonts w:ascii="Times New Roman" w:hAnsi="Times New Roman" w:cs="Times New Roman"/>
          <w:color w:val="343332"/>
          <w:spacing w:val="-5"/>
          <w:sz w:val="24"/>
          <w:szCs w:val="24"/>
          <w:lang w:val="en-US"/>
        </w:rPr>
        <w:t xml:space="preserve">. </w:t>
      </w:r>
      <w:r w:rsidRPr="00737C36">
        <w:rPr>
          <w:rFonts w:ascii="Times New Roman" w:hAnsi="Times New Roman" w:cs="Times New Roman"/>
          <w:color w:val="343332"/>
          <w:spacing w:val="-5"/>
          <w:sz w:val="24"/>
          <w:szCs w:val="24"/>
          <w:lang w:val="en-US"/>
        </w:rPr>
        <w:t>1959.</w:t>
      </w:r>
      <w:r w:rsidRPr="002665D6">
        <w:rPr>
          <w:rFonts w:ascii="Times New Roman" w:hAnsi="Times New Roman" w:cs="Times New Roman"/>
          <w:color w:val="343332"/>
          <w:spacing w:val="-5"/>
          <w:sz w:val="24"/>
          <w:szCs w:val="24"/>
          <w:lang w:val="fr-FR"/>
        </w:rPr>
        <w:t xml:space="preserve"> </w:t>
      </w:r>
      <w:r w:rsidRPr="002665D6">
        <w:rPr>
          <w:rFonts w:ascii="Times New Roman" w:hAnsi="Times New Roman" w:cs="Times New Roman"/>
          <w:color w:val="000000"/>
          <w:spacing w:val="-5"/>
          <w:sz w:val="24"/>
          <w:szCs w:val="24"/>
          <w:lang w:val="fr-FR"/>
        </w:rPr>
        <w:t>Vol. 13</w:t>
      </w:r>
      <w:r w:rsidRPr="00737C36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.</w:t>
      </w:r>
      <w:r w:rsidRPr="002665D6">
        <w:rPr>
          <w:rFonts w:ascii="Times New Roman" w:hAnsi="Times New Roman" w:cs="Times New Roman"/>
          <w:color w:val="000000"/>
          <w:spacing w:val="-5"/>
          <w:sz w:val="24"/>
          <w:szCs w:val="24"/>
          <w:lang w:val="fr-FR"/>
        </w:rPr>
        <w:t xml:space="preserve"> No. 48 (2)</w:t>
      </w:r>
      <w:r w:rsidRPr="00737C36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P. 220–</w:t>
      </w:r>
      <w:r w:rsidRPr="004178E8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248</w:t>
      </w:r>
      <w:r w:rsidRPr="002665D6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.</w:t>
      </w:r>
    </w:p>
    <w:p w:rsidR="00D662EA" w:rsidRPr="002665D6" w:rsidRDefault="00D662EA" w:rsidP="00D662EA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662EA" w:rsidRDefault="00D662EA"/>
    <w:sectPr w:rsidR="00D662EA" w:rsidSect="00D662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2F05"/>
    <w:multiLevelType w:val="hybridMultilevel"/>
    <w:tmpl w:val="ED046B04"/>
    <w:lvl w:ilvl="0" w:tplc="D2B04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4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A"/>
    <w:rsid w:val="00012913"/>
    <w:rsid w:val="00354D7E"/>
    <w:rsid w:val="00C70925"/>
    <w:rsid w:val="00D175B7"/>
    <w:rsid w:val="00D662EA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8E2B3"/>
  <w15:chartTrackingRefBased/>
  <w15:docId w15:val="{136F1E2A-315E-9649-9F1A-D03EA158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E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D66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6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6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62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62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62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62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62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62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6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6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62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62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62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6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62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62EA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D662E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662EA"/>
    <w:rPr>
      <w:kern w:val="0"/>
      <w:sz w:val="20"/>
      <w:szCs w:val="20"/>
      <w14:ligatures w14:val="none"/>
    </w:rPr>
  </w:style>
  <w:style w:type="character" w:customStyle="1" w:styleId="docdata">
    <w:name w:val="docdata"/>
    <w:aliases w:val="docy,v5,2235,bqiaagaaeyqcaaagiaiaaamicaaabtaiaaaaaaaaaaaaaaaaaaaaaaaaaaaaaaaaaaaaaaaaaaaaaaaaaaaaaaaaaaaaaaaaaaaaaaaaaaaaaaaaaaaaaaaaaaaaaaaaaaaaaaaaaaaaaaaaaaaaaaaaaaaaaaaaaaaaaaaaaaaaaaaaaaaaaaaaaaaaaaaaaaaaaaaaaaaaaaaaaaaaaaaaaaaaaaaaaaaaaaaa"/>
    <w:basedOn w:val="a0"/>
    <w:rsid w:val="00D662EA"/>
  </w:style>
  <w:style w:type="character" w:customStyle="1" w:styleId="apple-converted-space">
    <w:name w:val="apple-converted-space"/>
    <w:basedOn w:val="a0"/>
    <w:rsid w:val="00D6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756</Words>
  <Characters>5247</Characters>
  <Application>Microsoft Office Word</Application>
  <DocSecurity>0</DocSecurity>
  <Lines>92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Храмова</dc:creator>
  <cp:keywords/>
  <dc:description/>
  <cp:lastModifiedBy>Анна Храмова</cp:lastModifiedBy>
  <cp:revision>1</cp:revision>
  <dcterms:created xsi:type="dcterms:W3CDTF">2025-03-05T09:39:00Z</dcterms:created>
  <dcterms:modified xsi:type="dcterms:W3CDTF">2025-03-05T09:51:00Z</dcterms:modified>
</cp:coreProperties>
</file>