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Речевые маркеры синдрома иностранного акцента при детском аутизме</w:t>
      </w:r>
    </w:p>
    <w:p w:rsidR="00000000" w:rsidDel="00000000" w:rsidP="00000000" w:rsidRDefault="00000000" w:rsidRPr="00000000" w14:paraId="00000002">
      <w:pPr>
        <w:spacing w:line="240" w:lineRule="auto"/>
        <w:ind w:firstLine="2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Губаренко Анастасия Алексеевна, Капитанова Дарья Дмитриевна</w:t>
      </w:r>
    </w:p>
    <w:p w:rsidR="00000000" w:rsidDel="00000000" w:rsidP="00000000" w:rsidRDefault="00000000" w:rsidRPr="00000000" w14:paraId="00000003">
      <w:pPr>
        <w:spacing w:line="240" w:lineRule="auto"/>
        <w:ind w:firstLine="2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Студенты</w:t>
      </w:r>
    </w:p>
    <w:p w:rsidR="00000000" w:rsidDel="00000000" w:rsidP="00000000" w:rsidRDefault="00000000" w:rsidRPr="00000000" w14:paraId="00000004">
      <w:pPr>
        <w:spacing w:line="240" w:lineRule="auto"/>
        <w:ind w:firstLine="20"/>
        <w:jc w:val="center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Национальный исследовательский университет «Высшая школа экономики» – Нижний Новгород, Нижний Новгород, Россия</w:t>
      </w:r>
    </w:p>
    <w:p w:rsidR="00000000" w:rsidDel="00000000" w:rsidP="00000000" w:rsidRDefault="00000000" w:rsidRPr="00000000" w14:paraId="00000005">
      <w:pPr>
        <w:spacing w:line="240" w:lineRule="auto"/>
        <w:ind w:firstLine="20"/>
        <w:jc w:val="center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highlight w:val="white"/>
            <w:u w:val="single"/>
            <w:rtl w:val="0"/>
          </w:rPr>
          <w:t xml:space="preserve">aagubarenko@edu.hse.ru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highlight w:val="white"/>
            <w:u w:val="single"/>
            <w:rtl w:val="0"/>
          </w:rPr>
          <w:t xml:space="preserve">ddkapitanova@edu.hse.ru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Синдром иностранного акцента (СИА) – “относительно редкое расстройство моторной речи, характеризующееся речевыми ошибками, принимаемыми за иностранный акцент носителями родного для пациента языка” [Mariёn: 94]. В русскоязычной практике исследования СИА при РАС на данный момент отсутствуют, что обуславливает актуальность работы. </w:t>
      </w:r>
    </w:p>
    <w:p w:rsidR="00000000" w:rsidDel="00000000" w:rsidP="00000000" w:rsidRDefault="00000000" w:rsidRPr="00000000" w14:paraId="00000008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литературе, посвящённой исследованию СИА, иностранный акцент в основном рассматривается с точки зрения фонетики, выделяются сегментные и суперсегментные характеристики [Keulen et al.: 2]. Таким образом, целью исследования стало выявление специфики СИА при аутизме и определение фонетических показателей, влияющих на восприятие иностранного акцента.</w:t>
        <w:tab/>
      </w:r>
    </w:p>
    <w:p w:rsidR="00000000" w:rsidDel="00000000" w:rsidP="00000000" w:rsidRDefault="00000000" w:rsidRPr="00000000" w14:paraId="00000009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исследовании принял участие десятилетний мальчик (инициалы – ВК), правша, носитель русского языка с диагностированным в 7 лет РАС. Родной язык ВК – русский; он рос в монолингвальной семье, его окружение также монолингвально. С раннего детства у ВК наблюдались речевые нарушения.</w:t>
      </w:r>
    </w:p>
    <w:p w:rsidR="00000000" w:rsidDel="00000000" w:rsidP="00000000" w:rsidRDefault="00000000" w:rsidRPr="00000000" w14:paraId="0000000A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ЭЭГ и МРТ мозга ВК не показали структурных нарушений. Нет свидетельств наличия проблем с психическим здоровьем, задержек речевого развития и иных речевых нарушений у родителей ребёнка и его близких родственников.</w:t>
      </w:r>
    </w:p>
    <w:p w:rsidR="00000000" w:rsidDel="00000000" w:rsidP="00000000" w:rsidRDefault="00000000" w:rsidRPr="00000000" w14:paraId="0000000B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исследовании, кроме ВК (foreign accent syndrome, FAS), принимали участие 6 русскоговорящих детей в той же возрастной группе: 2 ребёнка с РАС без иностранного акцента (autistic spectrum disorder, ASD), 2 ребёнка без патологий развития с иностранным акцентом (typical developing foreign accent, TDFAS), 2 ребёнка из группы нормы (typical development, TD). </w:t>
      </w:r>
    </w:p>
    <w:p w:rsidR="00000000" w:rsidDel="00000000" w:rsidP="00000000" w:rsidRDefault="00000000" w:rsidRPr="00000000" w14:paraId="0000000C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Были собраны данные прохождения субтестов “КОРАБЛИК” [Lopukhina et al.: 30] на порождение речи: называние объектов (1 существительное), называние действий (1 глагол), повторение предложений (3 простых предложения). Данный материал обрабатывался в Praat [Boersma: 341]: замерялись значения F1 и F2, исследовалась формантная структура звуков на спектрограммах. Для изучения просодии замерялись частота основного тона (ЧОТ), средняя длительность слога (СДС), длительность и количество пауз, скорость речи (количество слогов в секунду с учётом пауз) и скорость артикуляции (количество слогов в секунду без учёта пауз); изучались визуализации интонационных контуров. Аудиозаписи транскрибировались согласно правилам, описанным в учебнике “Современный русский язык. Фонетика” [Князев, Пожарицкая: 62–72].</w:t>
      </w:r>
    </w:p>
    <w:p w:rsidR="00000000" w:rsidDel="00000000" w:rsidP="00000000" w:rsidRDefault="00000000" w:rsidRPr="00000000" w14:paraId="0000000D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Также был проведен опрос о восприятии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иностранного акцента носителями языка. В опроснике респондентам предоставлялось 35 аудиозаписей, которые использовались в исследовании ранее. После прослушивания каждой записи участникам опроса нужно было ответить, слышат они в речи говорящего иностранный акцент или нет. В данном опросе приняли участие 11 человек с высшим образованием или учёной степенью, преимущественно в области лингвистики. Возраст респондентов – 22-49 лет.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опроса продемонстрировали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что у ВК в 95% случаев отмечался иностранный акцент. Менее узнаваемым оказался акцент TDFAS (58–69%). В речи ASD и TD акцент практически не идентифицировался (0–11%).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речи ВК были выявлены следующие фонетические нарушения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(в скобках указываются группы, у которых они также встречались)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отсутствие редукции, эпентезы (TDFAS), замены гласных (ASD, TDFAS);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ошибки фонации (TDFAS), отсутствие палатализации согласных (TDFAS);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выделение фрикативной части в аффрикатах;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увеличение СДС (ASD, TDFAS);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низкая скорость речи и артикуляции (ASD, TDFAS);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нарушение ИК (ASD, TDFAS);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частотные, длительные паузы (ASD, TDFAS);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изменение ритма речи;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низкоконтрастное ударение.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Опрос показал, что у ВК акцент идентифицируется в большинстве случаев и значительно чаще, чем у группы с непатологическим иностранным акцентом. Замечены частотные совпадения в сегментных и суперсегментных характеристиках у пациента и группы с непатологическим иностранным акцентом, что может влиять на идентификацию иностранного звучания его речи.</w:t>
      </w:r>
    </w:p>
    <w:p w:rsidR="00000000" w:rsidDel="00000000" w:rsidP="00000000" w:rsidRDefault="00000000" w:rsidRPr="00000000" w14:paraId="0000001A">
      <w:pPr>
        <w:spacing w:line="240" w:lineRule="auto"/>
        <w:ind w:firstLine="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firstLine="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35353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53535"/>
          <w:sz w:val="24"/>
          <w:szCs w:val="24"/>
          <w:rtl w:val="0"/>
        </w:rPr>
        <w:t xml:space="preserve">Князев С. В., Пожарицкая С. К. Современный русский литературный язык: Фонетика, орфоэпия, графика и орфография: Учебное пособие для вузов. 2-е изд. М., 2011.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53535"/>
          <w:sz w:val="24"/>
          <w:szCs w:val="24"/>
          <w:rtl w:val="0"/>
        </w:rPr>
        <w:t xml:space="preserve">Boersma P. Praat, a system for doing phonetics by computer // Glot International. 2001. №. 9. Vol. 5. P. 341–345.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53535"/>
          <w:sz w:val="24"/>
          <w:szCs w:val="24"/>
          <w:rtl w:val="0"/>
        </w:rPr>
        <w:t xml:space="preserve">Keulen S. et al. Foreign Accent Syndrome As a Psychogenic Disorder: A Review // Frontiers in Human Neuroscience. 2016. Vol. 10. P. 1–16.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35353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53535"/>
          <w:sz w:val="24"/>
          <w:szCs w:val="24"/>
          <w:rtl w:val="0"/>
        </w:rPr>
        <w:t xml:space="preserve">Lopukhina A., Chrabaszcz A., Khudyakova M. et al. Test for assessment of language development in Russian “KORABLIK” // In Proceedings of the Satellite of AMLaP Conference “Typical and Atypical Language Development Symposium”. 2019. P. 30.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35353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53535"/>
          <w:sz w:val="24"/>
          <w:szCs w:val="24"/>
          <w:rtl w:val="0"/>
        </w:rPr>
        <w:t xml:space="preserve">Mariën P., Keulen S., Verhoeven J. Neurological Aspects of Foreign Accent Syndrome in Stroke Patients // Journal of Communication Disorders. 2019. Vol. 77. P. 94–113.</w:t>
      </w:r>
    </w:p>
    <w:sectPr>
      <w:pgSz w:h="16834" w:w="11909" w:orient="portrait"/>
      <w:pgMar w:bottom="1133.8582677165355" w:top="1133.8582677165355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agubarenko@edu.hse.ru" TargetMode="External"/><Relationship Id="rId7" Type="http://schemas.openxmlformats.org/officeDocument/2006/relationships/hyperlink" Target="mailto:ddkapitanova@edu.hs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