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Проблемы машинного перевода малоресурсных языков на примере тайского языка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Парфенова Светлана Сергеевна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ind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Южно-Уральского государственного университета, Челябинск, Россия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В эпоху глобализации все более актуальным становится сохранение языкового разнообразия. Современные машинные переводчики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работают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сотн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языков. Однако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большинству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существующих языков не хватает цифровых ресурсов для эффективной обработки и анализа.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Носители малоресурсных языков (далее – МЯ) могут сталкиваться с такими сложностями, как отсутствие систем машинного перевода и распознавания текста или речи. Здесь будут рассмотрены проблемы машинного перевода МЯ на примере тайского языка.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Малоресурсными можно назвать те языки, у которых недостаточно данных для обучения (корпусов, словарей и грамматик), а также инструментов для обработки языка. Среди методов, используемых для работы с МЯ, можно отметить трансферное обучение, создание синтетических корпусов при помощи обратного перевода и обучение без учителя [Zhong et al. 2024].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Тайский можно отнести к МЯ по сравнению с более распространёнными, английским, китайским или испанским. Так, одни из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амых крупных корпусов тайского языка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shd w:fill="auto" w:val="clear"/>
          <w:rtl w:val="0"/>
        </w:rPr>
        <w:t xml:space="preserve"> Thai web corpus (695 млн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color w:val="000000"/>
          <w:sz w:val="24"/>
          <w:szCs w:val="24"/>
          <w:shd w:fill="auto" w:val="clear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Thai National Corpus (33 млн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shd w:fill="auto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shd w:fill="auto" w:val="clear"/>
          <w:rtl w:val="0"/>
        </w:rPr>
        <w:t xml:space="preserve">HSE Thai Corpus (50 млн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shd w:fill="auto" w:val="clear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shd w:fill="auto" w:val="clear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то же время Оксфордский корпус английского языка содержит около 2,1 млрд слов. Некоторые из существующих корпусов аннотированы. Например, Thai National Corpus, Thai Nested Named Entity Recognition Corpus и др.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иблиотеки, такие как PyThaiNLP, DeepCut и WordCut, предлагают инструменты для токенизации, анализа частей речи и поиска именованных сущностей в тайском языке.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дефицита цифровых ресурсов, задачи, связанные с обработкой, усложняются из-за особенностей структуры тайского. Будучи изолирующим языком, он требует высокого уровня анализа контекста при обработке сразу по нескольким причинам: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ind w:left="420" w:hanging="42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Отсутствие словоизменительной аффиксации. Передача грамматических значений (число, род, вид и пр.) в основном ложится на служебные слова.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ind w:left="420" w:hanging="4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глагольной сериализации. В сериальной конструкции последовательность из нескольких глаголов функционирует как единый предикат. При этом в разных языках последовательность глаголов или значение подобных конструкций может отличаться, что затрудняет  трансферное обучение [Морев 1991: 116].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тайском языке выделяют 3 регистровых и 2 контурных тона. Это представляет определенную сложность для систем синтеза и распознавания речи, так как требует точного анализа высоты звука для смыслоразличения в рамках слов [Морев 1991: 41].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Сегментация предложений -- распространенная проблема при обработке малоресурсных языков. Тайский, как язык scriptio continua, использует пробелы не для разграничения слов, а для обозначения окончания предложения или клаузы. Задача сегментации облегчается тем, что большинство тайских слов состоит из 1-2 слогов, однако заимствованные слова часто бывают многосложными. Для решения этой проблемы используются различные подходы: предварительное обучение на размеченных данных, расчет частотности последовательностей букв, поиск наиболее длинного совпадения в словаре и метод условного случайного поля, чтобы определить является ли символ начальным [Poncelas et al. 2020].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тайского, как и для многих МЯ характерна сложная система средств выражения вежливости. Помимо частиц и местоимений, выражающих отношение к собеседнику, в тайском языке есть отдельные лексические системы, относящиеся к религии и королевской семье [Морев 1991: 66].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 как нейронные системы требуют большого количества данных, нехватка цифровых ресурсов заметно сказывается на качестве машинного перевода. На данный момент тайский язык поддерживают такие системы, к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Google Переводчик, Я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ндекс Переводчик,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Microsoft Translator,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  DeepL,  iTranslate и Papago. Для оценки качества перевода был выбран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Google Переводчик, как самый популярная и одна из самых развитых систем машинного перевода.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проводилось на базе параллельного корпуса TedTalks на русском и тайском языках из проекта OPUS. Этот корпус был выбран, поскольку он состоит из текстов в публицистическом стиле и, следовательно, отличается разнообразием языковых средств. Корпус на тайском языке был переведен на русский при помощи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Google Переводчика и сопоставлен с русскоязычным корпусом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помощью алгоритма BLEU. Кроме того, была проведена автоматическая оценка лингвистических характеристик машинного и ручного перевода.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9"/>
        <w:gridCol w:w="3187"/>
        <w:gridCol w:w="4125"/>
        <w:tblGridChange w:id="0">
          <w:tblGrid>
            <w:gridCol w:w="1919"/>
            <w:gridCol w:w="3187"/>
            <w:gridCol w:w="4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Ручной перевод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Машинный перевод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Количество предложений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Количество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Части речи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Прилагательные: 462;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Имена собственные: 4854;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Глаголы: 369;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Существительные: 219;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Числительные: 84;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Союзы: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Прилагательные: 430;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Имена собственные: 5437;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Глаголы: 366;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Существительные: 160;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Числительные: 69;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Союзы: 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Знаки препинания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Точка: 453;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Запятая: 619;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Двоеточие: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Точка: 416;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Запятая: 725;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Двоеточие: 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Средняя длина слова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4,87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Средняя длина предложения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Количество уникальных слов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3060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3143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можно сделать вывод о том, что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Google Переводчик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разделяет текст на меньшее количество предложений, чем это делает человек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highlight w:val="white"/>
          <w:rtl w:val="0"/>
        </w:rPr>
        <w:t xml:space="preserve">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то может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привести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дополнительны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ошибк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усложнить восприятие текста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. Полученный результат BLEU составил 0,2 по шкале от 0 до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этом тексты с высоким качеством перевода, как правило, набирают более 0,5.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За последнее время наблюдается стабильн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ое развитие машинного перевода, в том числе и МЯ.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Проблема обработки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 не имеет простых решений и однозначных ответов.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  <w:rtl w:val="0"/>
        </w:rPr>
        <w:t xml:space="preserve">альнейшие исследования в этой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области могут поспособствовать общей эволюции машинного перевода.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Морев Л. Н. Сопоставительная грамматика тайских языков. М., 1991.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Poncelas A. Multiple Segmentations of Thai Sentences for Neural Machine Translation: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https://aclanthology.org/2020.sltu-1.33/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Zhong T. Opportunities and Challenges of Large Language Models for Low-Resource Languages in Humanities Research: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https://arxiv.org/html/2412.04497v2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clanthology.org/2020.sltu-1.33/" TargetMode="External"/><Relationship Id="rId7" Type="http://schemas.openxmlformats.org/officeDocument/2006/relationships/hyperlink" Target="https://arxiv.org/html/2412.04497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