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Дана Дмитриевна Хафизова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студентка четвертого курса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института философии человека культурология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Российский государственный педагогический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университет им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Герцена 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г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 xml:space="preserve">Санкт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Петербург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Россия</w:t>
      </w:r>
    </w:p>
    <w:p>
      <w:pPr>
        <w:pStyle w:val="По умолчанию"/>
        <w:bidi w:val="0"/>
        <w:spacing w:before="0" w:line="240" w:lineRule="auto"/>
        <w:ind w:left="0" w:right="0" w:firstLine="72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dacatyu@mail.ru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          Научный руководитель –  Суворова Анна Александровна</w:t>
      </w:r>
    </w:p>
    <w:p>
      <w:pPr>
        <w:pStyle w:val="По умолчанию"/>
        <w:bidi w:val="0"/>
        <w:spacing w:before="0" w:line="240" w:lineRule="auto"/>
        <w:ind w:left="613" w:right="0" w:hanging="613"/>
        <w:jc w:val="both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10201f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0201F"/>
            </w14:solidFill>
          </w14:textFill>
        </w:rPr>
        <w:t>  Доктор искусствоведения</w:t>
      </w:r>
      <w:r>
        <w:rPr>
          <w:rFonts w:ascii="Times New Roman" w:hAnsi="Times New Roman"/>
          <w:outline w:val="0"/>
          <w:color w:val="10201f"/>
          <w:sz w:val="32"/>
          <w:szCs w:val="32"/>
          <w:shd w:val="clear" w:color="auto" w:fill="ffffff"/>
          <w:rtl w:val="0"/>
          <w14:textFill>
            <w14:solidFill>
              <w14:srgbClr w14:val="10201F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0201f"/>
          <w:sz w:val="32"/>
          <w:szCs w:val="32"/>
          <w:shd w:val="clear" w:color="auto" w:fill="ffffff"/>
          <w:rtl w:val="0"/>
          <w14:textFill>
            <w14:solidFill>
              <w14:srgbClr w14:val="10201F"/>
            </w14:solidFill>
          </w14:textFill>
        </w:rPr>
        <w:t>доцент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shd w:val="clear" w:color="auto" w:fill="ffffff"/>
          <w:rtl w:val="0"/>
        </w:rPr>
        <w:t>Деконструкция мифов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ru-RU"/>
        </w:rPr>
        <w:t>постмодернистский нарратив в кино «Монти Пайтона»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ru-RU"/>
        </w:rPr>
        <w:t>Ключевые слова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постмодернизм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</w:rPr>
        <w:t>кинематограф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«Монти Пайтон»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«Священный Грааль»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метанарратив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</w:rPr>
        <w:t>деконструкция</w:t>
      </w:r>
      <w:r>
        <w:rPr>
          <w:rFonts w:ascii="Times New Roman" w:hAnsi="Times New Roman"/>
          <w:i w:val="1"/>
          <w:iCs w:val="1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32"/>
          <w:szCs w:val="32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Доклад посвящен анализу постмодернистских тенденций в творчестве комик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группы «Монти Пайтон»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в частности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фильме «Священный Грааль»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этой работе «Монти Пайтон» предлагает фарсовую интерпретацию легенды о короле Артуре и его поисках Святого Грааля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одновременно представляя серию метанарративных деконструкций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пронизывающих весь фильм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В соответствии с концепцией постмодернизма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Жана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Франсуа Лиотара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фильм демонстрирует скептическое отношение к метанарративам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На протяжении киноленты происходит деконструкция артурианских тропов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начиная от базовой концепции рыцарского благородства и заканчивая образами рыцарей Круглого стола и самим королем Артуром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Фильм подрывает архетипы каждого представленного рыцарского героя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каждое действие противоречит ожиданиям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установленным традиционным каноном эпохи рыцарства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Также присутствует обращение к аудитории и взаимодействия между создателями фильма и зрителем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Это не только деконструирует фильм как средство передачи нарративов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но и подтверждает представление о постмодернизме как о способе вовлечения аудитории в осмысление своей собственной сущности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позволяя избежать их пассивного участия в повествовании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представленном им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Множество повествовательных линий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архетипических структур и презентационных деконструкций органично распределены по всему фильму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таким образом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что «Монти Пайтон и Святой Грааль» представляют собой яркий пример постмодернистского повествования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Ильин 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П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Постмодернизм от истоков до конца столетия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эволюция научного мифа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Москва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Интрада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 -1998.-255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с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Лиотар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Ж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.-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Ф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Состояние постмодерна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Республика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, 1998.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32"/>
          <w:szCs w:val="32"/>
          <w:rtl w:val="0"/>
          <w:lang w:val="ru-RU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Между автономией и протеизмом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формы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способы социокультурного бытия и границы современного искусства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Закс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Т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Круглова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В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 xml:space="preserve">Кондаков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pt-PT"/>
        </w:rPr>
        <w:t>[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и др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pt-PT"/>
        </w:rPr>
        <w:t xml:space="preserve">.].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 xml:space="preserve">– Екатеринбург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Автономная некоммерческая организация высшего образования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>"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Гуманитарный университет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pt-PT"/>
        </w:rPr>
        <w:t xml:space="preserve">", 2020.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328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с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>.</w:t>
      </w:r>
    </w:p>
    <w:p>
      <w:pPr>
        <w:pStyle w:val="По умолчанию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 w:hint="default"/>
          <w:sz w:val="32"/>
          <w:szCs w:val="32"/>
          <w:rtl w:val="0"/>
        </w:rPr>
      </w:pP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Харви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Д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Состояние постмодерна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 xml:space="preserve">исследование истоков культурных изменений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/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пер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с англ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Н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Проценко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</w:rPr>
        <w:t>М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</w:rPr>
        <w:t xml:space="preserve">.: </w:t>
      </w:r>
      <w:r>
        <w:rPr>
          <w:rFonts w:ascii="Times New Roman" w:hAnsi="Times New Roman" w:hint="default"/>
          <w:sz w:val="32"/>
          <w:szCs w:val="32"/>
          <w:shd w:val="clear" w:color="auto" w:fill="ffffff"/>
          <w:rtl w:val="0"/>
          <w:lang w:val="ru-RU"/>
        </w:rPr>
        <w:t>Академический проект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, 2021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