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B3A7" w14:textId="49EDC44F" w:rsidR="00592A8F" w:rsidRPr="000F7020" w:rsidRDefault="006240BF" w:rsidP="000F7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020">
        <w:rPr>
          <w:rFonts w:ascii="Times New Roman" w:hAnsi="Times New Roman" w:cs="Times New Roman"/>
          <w:sz w:val="28"/>
          <w:szCs w:val="28"/>
        </w:rPr>
        <w:t>«</w:t>
      </w:r>
      <w:r w:rsidRPr="000F7020">
        <w:rPr>
          <w:rFonts w:ascii="Times New Roman" w:hAnsi="Times New Roman" w:cs="Times New Roman"/>
          <w:sz w:val="28"/>
          <w:szCs w:val="28"/>
        </w:rPr>
        <w:t xml:space="preserve">Оформление советских павильонов на международных выставках </w:t>
      </w:r>
      <w:proofErr w:type="gramStart"/>
      <w:r w:rsidRPr="000F7020">
        <w:rPr>
          <w:rFonts w:ascii="Times New Roman" w:hAnsi="Times New Roman" w:cs="Times New Roman"/>
          <w:sz w:val="28"/>
          <w:szCs w:val="28"/>
        </w:rPr>
        <w:t>20-30</w:t>
      </w:r>
      <w:proofErr w:type="gramEnd"/>
      <w:r w:rsidRPr="000F7020">
        <w:rPr>
          <w:rFonts w:ascii="Times New Roman" w:hAnsi="Times New Roman" w:cs="Times New Roman"/>
          <w:sz w:val="28"/>
          <w:szCs w:val="28"/>
        </w:rPr>
        <w:t xml:space="preserve"> гг. XX века как инструмент улучшения государственного имиджа</w:t>
      </w:r>
      <w:r w:rsidRPr="000F7020">
        <w:rPr>
          <w:rFonts w:ascii="Times New Roman" w:hAnsi="Times New Roman" w:cs="Times New Roman"/>
          <w:sz w:val="28"/>
          <w:szCs w:val="28"/>
        </w:rPr>
        <w:t>»</w:t>
      </w:r>
    </w:p>
    <w:p w14:paraId="2F476D4D" w14:textId="77777777" w:rsidR="006240BF" w:rsidRPr="006240BF" w:rsidRDefault="006240BF" w:rsidP="006240BF">
      <w:r w:rsidRPr="006240BF">
        <w:rPr>
          <w:lang w:val="en-US"/>
        </w:rPr>
        <w:t> </w:t>
      </w:r>
    </w:p>
    <w:p w14:paraId="79F3850A" w14:textId="6B793A17" w:rsidR="00F851FB" w:rsidRPr="00F851FB" w:rsidRDefault="00F851FB" w:rsidP="008A1B5A">
      <w:pPr>
        <w:spacing w:line="360" w:lineRule="auto"/>
        <w:ind w:firstLine="560"/>
        <w:jc w:val="both"/>
        <w:rPr>
          <w:rFonts w:ascii="Times New Roman" w:eastAsia="Times New Roman" w:hAnsi="Times New Roman" w:cs="Times New Roman"/>
          <w:highlight w:val="white"/>
        </w:rPr>
      </w:pPr>
      <w:r w:rsidRPr="000F7020">
        <w:rPr>
          <w:rFonts w:ascii="Times New Roman" w:hAnsi="Times New Roman" w:cs="Times New Roman"/>
          <w:color w:val="000000" w:themeColor="text1"/>
          <w:shd w:val="clear" w:color="auto" w:fill="FFFFFF"/>
        </w:rPr>
        <w:t>Участие Советского Союза во всемирных выставках в период с 1925 по 1939 год представляет существенный научный интерес в контексте современной культурной дипломатии и международной репрезентации государств.</w:t>
      </w:r>
      <w:r w:rsidRPr="000F70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240BF" w:rsidRPr="000F7020">
        <w:rPr>
          <w:rFonts w:ascii="Times New Roman" w:hAnsi="Times New Roman" w:cs="Times New Roman"/>
        </w:rPr>
        <w:t xml:space="preserve">Основная цель исследования заключается в </w:t>
      </w:r>
      <w:r w:rsidRPr="000F7020">
        <w:rPr>
          <w:rFonts w:ascii="Times New Roman" w:eastAsia="Times New Roman" w:hAnsi="Times New Roman" w:cs="Times New Roman"/>
          <w:highlight w:val="white"/>
        </w:rPr>
        <w:t>к</w:t>
      </w:r>
      <w:r w:rsidRPr="000F7020">
        <w:rPr>
          <w:rFonts w:ascii="Times New Roman" w:eastAsia="Times New Roman" w:hAnsi="Times New Roman" w:cs="Times New Roman"/>
          <w:highlight w:val="white"/>
        </w:rPr>
        <w:t>омплексн</w:t>
      </w:r>
      <w:r w:rsidRPr="000F7020">
        <w:rPr>
          <w:rFonts w:ascii="Times New Roman" w:eastAsia="Times New Roman" w:hAnsi="Times New Roman" w:cs="Times New Roman"/>
          <w:highlight w:val="white"/>
        </w:rPr>
        <w:t>ом</w:t>
      </w:r>
      <w:r w:rsidRPr="000F7020">
        <w:rPr>
          <w:rFonts w:ascii="Times New Roman" w:eastAsia="Times New Roman" w:hAnsi="Times New Roman" w:cs="Times New Roman"/>
          <w:highlight w:val="white"/>
        </w:rPr>
        <w:t xml:space="preserve"> анализ</w:t>
      </w:r>
      <w:r w:rsidRPr="000F7020">
        <w:rPr>
          <w:rFonts w:ascii="Times New Roman" w:eastAsia="Times New Roman" w:hAnsi="Times New Roman" w:cs="Times New Roman"/>
          <w:highlight w:val="white"/>
        </w:rPr>
        <w:t>е</w:t>
      </w:r>
      <w:r w:rsidRPr="000F7020">
        <w:rPr>
          <w:rFonts w:ascii="Times New Roman" w:eastAsia="Times New Roman" w:hAnsi="Times New Roman" w:cs="Times New Roman"/>
          <w:highlight w:val="white"/>
        </w:rPr>
        <w:t xml:space="preserve"> эволюции форм и методов представления достижений СССР на всемирных выставках </w:t>
      </w:r>
      <w:proofErr w:type="gramStart"/>
      <w:r w:rsidRPr="000F7020">
        <w:rPr>
          <w:rFonts w:ascii="Times New Roman" w:eastAsia="Times New Roman" w:hAnsi="Times New Roman" w:cs="Times New Roman"/>
          <w:highlight w:val="white"/>
        </w:rPr>
        <w:t>1925-1939</w:t>
      </w:r>
      <w:proofErr w:type="gramEnd"/>
      <w:r w:rsidRPr="000F7020">
        <w:rPr>
          <w:rFonts w:ascii="Times New Roman" w:eastAsia="Times New Roman" w:hAnsi="Times New Roman" w:cs="Times New Roman"/>
          <w:highlight w:val="white"/>
        </w:rPr>
        <w:t xml:space="preserve"> годов как инструмента формирования международного имиджа страны.</w:t>
      </w:r>
      <w:r w:rsidRPr="000F702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0F7020">
        <w:rPr>
          <w:rFonts w:ascii="Times New Roman" w:eastAsia="Times New Roman" w:hAnsi="Times New Roman" w:cs="Times New Roman"/>
          <w:highlight w:val="white"/>
        </w:rPr>
        <w:t xml:space="preserve">Исследование охватывает период </w:t>
      </w:r>
      <w:proofErr w:type="gramStart"/>
      <w:r w:rsidRPr="000F7020">
        <w:rPr>
          <w:rFonts w:ascii="Times New Roman" w:eastAsia="Times New Roman" w:hAnsi="Times New Roman" w:cs="Times New Roman"/>
          <w:highlight w:val="white"/>
        </w:rPr>
        <w:t>1925-1939</w:t>
      </w:r>
      <w:proofErr w:type="gramEnd"/>
      <w:r w:rsidRPr="000F7020">
        <w:rPr>
          <w:rFonts w:ascii="Times New Roman" w:eastAsia="Times New Roman" w:hAnsi="Times New Roman" w:cs="Times New Roman"/>
          <w:highlight w:val="white"/>
        </w:rPr>
        <w:t xml:space="preserve"> годов, от первого крупного международного выставочного проекта СССР до последней предвоенной всемирной выставки.</w:t>
      </w:r>
      <w:r w:rsidR="000F7020" w:rsidRPr="000F7020">
        <w:rPr>
          <w:rFonts w:ascii="Times New Roman" w:eastAsia="Times New Roman" w:hAnsi="Times New Roman" w:cs="Times New Roman"/>
          <w:highlight w:val="white"/>
        </w:rPr>
        <w:t xml:space="preserve"> </w:t>
      </w:r>
      <w:r w:rsidR="000F7020" w:rsidRPr="000F7020">
        <w:rPr>
          <w:rFonts w:ascii="Times New Roman" w:eastAsia="Times New Roman" w:hAnsi="Times New Roman" w:cs="Times New Roman"/>
          <w:highlight w:val="white"/>
        </w:rPr>
        <w:t>Предметом исследования выступают методы и формы репрезентации советских достижений на всемирных выставках 1925, 1937 годов в Париже и 1939 года в Нью-Йорке.</w:t>
      </w:r>
    </w:p>
    <w:p w14:paraId="574ED16F" w14:textId="24B67400" w:rsidR="00F851FB" w:rsidRPr="00F851FB" w:rsidRDefault="000F7020" w:rsidP="008A1B5A">
      <w:pPr>
        <w:spacing w:line="360" w:lineRule="auto"/>
        <w:ind w:firstLine="560"/>
        <w:jc w:val="both"/>
        <w:rPr>
          <w:rFonts w:ascii="Times New Roman" w:eastAsia="Times New Roman" w:hAnsi="Times New Roman" w:cs="Times New Roman"/>
          <w:highlight w:val="white"/>
        </w:rPr>
      </w:pPr>
      <w:r w:rsidRPr="000F7020">
        <w:rPr>
          <w:rFonts w:ascii="Times New Roman" w:eastAsia="Times New Roman" w:hAnsi="Times New Roman" w:cs="Times New Roman"/>
          <w:highlight w:val="white"/>
        </w:rPr>
        <w:t xml:space="preserve">Проблематика исследования нашла отражение в работах В.З. Паперного, исследовавшего эволюцию советской архитектуры, С.О. Хан-Магомедова, изучавшего советский авангард, </w:t>
      </w:r>
      <w:proofErr w:type="gramStart"/>
      <w:r w:rsidRPr="000F7020">
        <w:rPr>
          <w:rFonts w:ascii="Times New Roman" w:eastAsia="Times New Roman" w:hAnsi="Times New Roman" w:cs="Times New Roman"/>
          <w:highlight w:val="white"/>
        </w:rPr>
        <w:t>И.В.</w:t>
      </w:r>
      <w:proofErr w:type="gramEnd"/>
      <w:r w:rsidRPr="000F7020">
        <w:rPr>
          <w:rFonts w:ascii="Times New Roman" w:eastAsia="Times New Roman" w:hAnsi="Times New Roman" w:cs="Times New Roman"/>
          <w:highlight w:val="white"/>
        </w:rPr>
        <w:t xml:space="preserve"> Рязанцева, анализировавшего выставочную архитектуру СССР. Значительный вклад в разработку темы внесли исследования </w:t>
      </w:r>
      <w:proofErr w:type="gramStart"/>
      <w:r w:rsidRPr="000F7020">
        <w:rPr>
          <w:rFonts w:ascii="Times New Roman" w:eastAsia="Times New Roman" w:hAnsi="Times New Roman" w:cs="Times New Roman"/>
          <w:highlight w:val="white"/>
        </w:rPr>
        <w:t>Б.М.</w:t>
      </w:r>
      <w:proofErr w:type="gramEnd"/>
      <w:r w:rsidRPr="000F7020">
        <w:rPr>
          <w:rFonts w:ascii="Times New Roman" w:eastAsia="Times New Roman" w:hAnsi="Times New Roman" w:cs="Times New Roman"/>
          <w:highlight w:val="white"/>
        </w:rPr>
        <w:t xml:space="preserve"> Кирикова о советском неоклассицизме и работы А.В. Луначарского о культурной политике раннего СССР</w:t>
      </w:r>
      <w:r w:rsidR="005D45D0">
        <w:rPr>
          <w:rFonts w:ascii="Times New Roman" w:eastAsia="Times New Roman" w:hAnsi="Times New Roman" w:cs="Times New Roman"/>
          <w:highlight w:val="white"/>
        </w:rPr>
        <w:t>, и многие другие.</w:t>
      </w:r>
    </w:p>
    <w:p w14:paraId="79072A56" w14:textId="68D1D82F" w:rsidR="00637317" w:rsidRPr="008A1B5A" w:rsidRDefault="00F851FB" w:rsidP="00637317">
      <w:pPr>
        <w:spacing w:line="360" w:lineRule="auto"/>
        <w:jc w:val="both"/>
      </w:pPr>
      <w:r w:rsidRPr="008A1B5A">
        <w:t xml:space="preserve"> </w:t>
      </w:r>
      <w:r w:rsidR="005D45D0" w:rsidRPr="008A1B5A">
        <w:rPr>
          <w:rFonts w:ascii="Times New Roman" w:eastAsia="Times New Roman" w:hAnsi="Times New Roman" w:cs="Times New Roman"/>
        </w:rPr>
        <w:t>Комплексный подход позволяет выявить взаимосвязь политических задач, решавшихся советским руководством, с особенностями художественной жизни молодого советского государства, в котором деятели искусств заявили об отказе от наследия прошлого и взялись создать совершенно новую пролетарскую культуру. На международных выставках они представили миру эту культуру, соединив в единое целое достижения науки, техники и искусства.</w:t>
      </w:r>
      <w:r w:rsidR="00637317">
        <w:rPr>
          <w:rFonts w:ascii="Times New Roman" w:eastAsia="Times New Roman" w:hAnsi="Times New Roman" w:cs="Times New Roman"/>
        </w:rPr>
        <w:t xml:space="preserve"> </w:t>
      </w:r>
      <w:r w:rsidR="005D45D0" w:rsidRPr="008A1B5A">
        <w:rPr>
          <w:rFonts w:ascii="Times New Roman" w:eastAsia="Times New Roman" w:hAnsi="Times New Roman" w:cs="Times New Roman"/>
        </w:rPr>
        <w:t>Архитектура, живопись, прикладное искусство, технические новинки формировали тот имидж страны, к которому стремилось ее руководство.</w:t>
      </w:r>
      <w:r w:rsidR="005D45D0" w:rsidRPr="008A1B5A">
        <w:rPr>
          <w:rFonts w:ascii="Times New Roman" w:eastAsia="Times New Roman" w:hAnsi="Times New Roman" w:cs="Times New Roman"/>
          <w:highlight w:val="white"/>
        </w:rPr>
        <w:t xml:space="preserve"> </w:t>
      </w:r>
      <w:r w:rsidR="005D45D0" w:rsidRPr="008A1B5A">
        <w:rPr>
          <w:rFonts w:ascii="Times New Roman" w:eastAsia="Times New Roman" w:hAnsi="Times New Roman" w:cs="Times New Roman"/>
          <w:highlight w:val="white"/>
        </w:rPr>
        <w:t>Результаты исследования могут быть использованы при разработке современных стратегий международной культурной политики и организации выставочных проектов.</w:t>
      </w:r>
    </w:p>
    <w:p w14:paraId="0B7296C3" w14:textId="77777777" w:rsidR="00637317" w:rsidRDefault="00637317" w:rsidP="006240BF">
      <w:pPr>
        <w:rPr>
          <w:rFonts w:ascii="Times New Roman" w:hAnsi="Times New Roman" w:cs="Times New Roman"/>
        </w:rPr>
      </w:pPr>
    </w:p>
    <w:p w14:paraId="4FB0F5D9" w14:textId="725A40BD" w:rsidR="00637317" w:rsidRDefault="008A1B5A" w:rsidP="006240BF">
      <w:pPr>
        <w:rPr>
          <w:rFonts w:ascii="Times New Roman" w:hAnsi="Times New Roman" w:cs="Times New Roman"/>
        </w:rPr>
      </w:pPr>
      <w:r w:rsidRPr="008A1B5A">
        <w:rPr>
          <w:rFonts w:ascii="Times New Roman" w:hAnsi="Times New Roman" w:cs="Times New Roman"/>
        </w:rPr>
        <w:t>Список литературы</w:t>
      </w:r>
    </w:p>
    <w:p w14:paraId="52506C5E" w14:textId="77777777" w:rsidR="00637317" w:rsidRPr="00637317" w:rsidRDefault="00637317" w:rsidP="006240BF">
      <w:pPr>
        <w:rPr>
          <w:rFonts w:ascii="Times New Roman" w:hAnsi="Times New Roman" w:cs="Times New Roman"/>
        </w:rPr>
      </w:pPr>
    </w:p>
    <w:p w14:paraId="0A82461E" w14:textId="5A417E81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Александров, П.А. Советская архитектура 1920-1930-х годов: идеи и практика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П.А.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Александров. – М.: Наука, 2014.</w:t>
      </w:r>
    </w:p>
    <w:p w14:paraId="70F6E755" w14:textId="541B5C49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Гинзбург, М.Я. Стиль и эпоха: проблемы современной архитектуры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М.Я.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Гинзбург. – М.: Искусство, 2019.</w:t>
      </w:r>
    </w:p>
    <w:p w14:paraId="4B15908E" w14:textId="64587A0B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Гропиус, В. Границы архитектуры / В. Гропиус; пер. с нем.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А.С.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Пинскер. – М.: Искусство, 2017.</w:t>
      </w:r>
    </w:p>
    <w:p w14:paraId="155767FD" w14:textId="0B3857EC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lastRenderedPageBreak/>
        <w:t xml:space="preserve">Иконников, А.В. Архитектура XX века: утопии и реальность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А.В.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Иконников. – М.: Прогресс-Традиция, 2016.</w:t>
      </w:r>
    </w:p>
    <w:p w14:paraId="553D0490" w14:textId="13F4B388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Кириков, Б.М. Архитектура ленинградского авангарда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Б.М.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Кириков. – СПб.: Коло, 2018.</w:t>
      </w:r>
    </w:p>
    <w:p w14:paraId="0AC7212F" w14:textId="07128F37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Косенкова, Ю.Л. Советский город 1940-х – первой половины 1950-х годов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Ю.Л.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Косенкова. – М.: УРСС, 2019.</w:t>
      </w:r>
    </w:p>
    <w:p w14:paraId="1450C332" w14:textId="60A09EA2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Луначарский, А.В. Об искусстве: в 2 т.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А.В.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Луначарский. – М.: Искусство, 2015.</w:t>
      </w:r>
    </w:p>
    <w:p w14:paraId="795D14B3" w14:textId="59C2C4CA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Махлина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 xml:space="preserve">, С.Т. Семиотика культуры и искусства / С.Т. </w:t>
      </w: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Махлина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>. – СПб.: Композитор, 2017.</w:t>
      </w:r>
    </w:p>
    <w:p w14:paraId="02F0186F" w14:textId="580D5F38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Меерович, М.Г. Рождение и смерть советского города-сада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М.Г.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Меерович. – Иркутск: Изд-во ИрГТУ, 2016.</w:t>
      </w:r>
    </w:p>
    <w:p w14:paraId="4FE6021C" w14:textId="4A1131CB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>Паперный, В.З. Культура Два / В.З. Паперный. – М.: Новое литературное обозрение, 2016.</w:t>
      </w:r>
    </w:p>
    <w:p w14:paraId="45EBD752" w14:textId="218868CA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Рязанцев, И.В. Искусство советского выставочного ансамбля,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1917-1970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/ И.В. Рязанцев. – М.: Советский художник, 2014.</w:t>
      </w:r>
    </w:p>
    <w:p w14:paraId="03B04BE5" w14:textId="1BF7E71A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>Сарабьянов, Д.В. История русского искусства конца XIX – начала XX века / Д.В. Сарабьянов. – М.: АСТ-Пресс, 2015.</w:t>
      </w:r>
    </w:p>
    <w:p w14:paraId="1D5C4146" w14:textId="58018320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Седов, В.В. Архитектура советского модернизма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В.В.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Седов. – М.: </w:t>
      </w: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БуксМарт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>, 2019.</w:t>
      </w:r>
    </w:p>
    <w:p w14:paraId="7740CCEE" w14:textId="5F1F591E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Стригалев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А.А.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Константин Степанович Мельников / А.А. </w:t>
      </w: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Стригалев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>. – М.: Искусство, 2018.</w:t>
      </w:r>
    </w:p>
    <w:p w14:paraId="0C02B0A3" w14:textId="5CC6489A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Хазанова, В.Э. Советская архитектура первых лет Октября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В.Э.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Хазанова. – М.: Наука, 2015.</w:t>
      </w:r>
    </w:p>
    <w:p w14:paraId="5E3F1F86" w14:textId="66A27DC9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Хан-Магомедов, С.О. Архитектура советского авангарда / С.О. Хан-Магомедов. – М.: </w:t>
      </w: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Стройиздат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>, 2016.</w:t>
      </w:r>
    </w:p>
    <w:p w14:paraId="36A94E5E" w14:textId="77710218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Чепкунова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 xml:space="preserve">, И.В. Клубная жизнь и архитектура клуба,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1917-1941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/ И.В. </w:t>
      </w: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Чепкунова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>. – М.: Норма, 2018.</w:t>
      </w:r>
    </w:p>
    <w:p w14:paraId="18303B33" w14:textId="44B78CB2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Швидковский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 xml:space="preserve">, Д.О. Русская архитектура и Запад / Д.О. </w:t>
      </w: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Швидковский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>. – М.: Архитектура-С, 2017.</w:t>
      </w:r>
    </w:p>
    <w:p w14:paraId="0D5BDF35" w14:textId="47F54A15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>Щенков, А.С. Реконструкция исторических городов / А.С. Щенков. – М.: Памятники исторической мысли, 2019.</w:t>
      </w:r>
    </w:p>
    <w:p w14:paraId="188EB944" w14:textId="04809843" w:rsidR="00F851FB" w:rsidRPr="00F851FB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851FB">
        <w:rPr>
          <w:rFonts w:ascii="Times New Roman" w:eastAsia="Times New Roman" w:hAnsi="Times New Roman" w:cs="Times New Roman"/>
          <w:highlight w:val="white"/>
        </w:rPr>
        <w:t xml:space="preserve">Щусев, А.В. Проекты и постройки /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А.В.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Щусев. – М.: Государственное издательство литературы по строительству и архитектуре, 2015.</w:t>
      </w:r>
    </w:p>
    <w:p w14:paraId="6D1A5767" w14:textId="6738B2A1" w:rsidR="006240BF" w:rsidRPr="00637317" w:rsidRDefault="00F851FB" w:rsidP="0063731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Эйгель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gramStart"/>
      <w:r w:rsidRPr="00F851FB">
        <w:rPr>
          <w:rFonts w:ascii="Times New Roman" w:eastAsia="Times New Roman" w:hAnsi="Times New Roman" w:cs="Times New Roman"/>
          <w:highlight w:val="white"/>
        </w:rPr>
        <w:t>И.Ю.</w:t>
      </w:r>
      <w:proofErr w:type="gramEnd"/>
      <w:r w:rsidRPr="00F851FB">
        <w:rPr>
          <w:rFonts w:ascii="Times New Roman" w:eastAsia="Times New Roman" w:hAnsi="Times New Roman" w:cs="Times New Roman"/>
          <w:highlight w:val="white"/>
        </w:rPr>
        <w:t xml:space="preserve"> Борис Иофан / И.Ю. </w:t>
      </w: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Эйгель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 xml:space="preserve">. – М.: </w:t>
      </w:r>
      <w:proofErr w:type="spellStart"/>
      <w:r w:rsidRPr="00F851FB">
        <w:rPr>
          <w:rFonts w:ascii="Times New Roman" w:eastAsia="Times New Roman" w:hAnsi="Times New Roman" w:cs="Times New Roman"/>
          <w:highlight w:val="white"/>
        </w:rPr>
        <w:t>Стройиздат</w:t>
      </w:r>
      <w:proofErr w:type="spellEnd"/>
      <w:r w:rsidRPr="00F851FB">
        <w:rPr>
          <w:rFonts w:ascii="Times New Roman" w:eastAsia="Times New Roman" w:hAnsi="Times New Roman" w:cs="Times New Roman"/>
          <w:highlight w:val="white"/>
        </w:rPr>
        <w:t>, 2017.</w:t>
      </w:r>
    </w:p>
    <w:sectPr w:rsidR="006240BF" w:rsidRPr="006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131307"/>
    <w:multiLevelType w:val="multilevel"/>
    <w:tmpl w:val="C413130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695"/>
      </w:pPr>
      <w:rPr>
        <w:rFonts w:hint="default"/>
      </w:rPr>
    </w:lvl>
  </w:abstractNum>
  <w:num w:numId="1" w16cid:durableId="29683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BF"/>
    <w:rsid w:val="00062C64"/>
    <w:rsid w:val="000F7020"/>
    <w:rsid w:val="00104E7B"/>
    <w:rsid w:val="00230F32"/>
    <w:rsid w:val="003C1C19"/>
    <w:rsid w:val="00450D84"/>
    <w:rsid w:val="004F7D5A"/>
    <w:rsid w:val="00592A8F"/>
    <w:rsid w:val="005D45D0"/>
    <w:rsid w:val="006240BF"/>
    <w:rsid w:val="00637317"/>
    <w:rsid w:val="008A1B5A"/>
    <w:rsid w:val="00C81EAF"/>
    <w:rsid w:val="00C94C84"/>
    <w:rsid w:val="00CF5661"/>
    <w:rsid w:val="00F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20D7"/>
  <w15:chartTrackingRefBased/>
  <w15:docId w15:val="{E7F048E9-2FB6-0248-82A5-048BA293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40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40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40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40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40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40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40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40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40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40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40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40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4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40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4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Размярчик</dc:creator>
  <cp:keywords/>
  <dc:description/>
  <cp:lastModifiedBy>Максим Размярчик</cp:lastModifiedBy>
  <cp:revision>2</cp:revision>
  <dcterms:created xsi:type="dcterms:W3CDTF">2025-02-15T20:29:00Z</dcterms:created>
  <dcterms:modified xsi:type="dcterms:W3CDTF">2025-02-15T21:40:00Z</dcterms:modified>
</cp:coreProperties>
</file>