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7"/>
        <w:jc w:val="center"/>
        <w:spacing w:after="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  <w:t xml:space="preserve">Процессы глобализации и регионализации спорта: социокультурные аспекты (2010-2020-е гг.)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ind w:left="397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highlight w:val="none"/>
          <w14:ligatures w14:val="none"/>
        </w:rPr>
        <w:t xml:space="preserve">Дьячкова Александра Дмитриевна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  <w14:ligatures w14:val="none"/>
        </w:rPr>
      </w:r>
    </w:p>
    <w:p>
      <w:pPr>
        <w:ind w:left="397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  <w:t xml:space="preserve">Студент (магистр)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</w:p>
    <w:p>
      <w:pPr>
        <w:ind w:left="397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  <w:t xml:space="preserve">Московский государственный университет имени М.В. Ломоносова, Факультет иностранных языков и регионоведения, Москва, Россия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</w:p>
    <w:p>
      <w:pPr>
        <w:ind w:left="397"/>
        <w:jc w:val="center"/>
        <w:spacing w:after="0" w:afterAutospacing="1" w:line="240" w:lineRule="auto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  <w:t xml:space="preserve">E-mail: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  <w:t xml:space="preserve">alexa.diachckowa@yandex.ru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В настоящий момент спорт рассматривается как инструм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ент политического влияния. Тем не менее, спорт можно назвать и социокультурным феноменом, так как многие формы физической активности с древних времен играли важную роль в повседневной жизни человека, что нашло отражение в культуре некоторых народов. Впосле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дствии различные спортивные практики легли в основу глобального Олимпийского движения, целью которого стало объединение людей со всего мира под эгидой олимпийских принципов и ценностей. Однако сегодня Олимпизм сталкивается с трудностями, связанными с тем,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что Олимпи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йские игры не выполняют свою миротворческую миссию. Поэтому с недавнего времени в мировом спорте появились тенденции к регионализации — созданию новых систем спортивной состязательности, основанных на региональных политических и экономических организациях.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sz w:val="24"/>
          <w:szCs w:val="24"/>
          <w:highlight w:val="none"/>
          <w14:ligatures w14:val="none"/>
        </w:rPr>
        <w:t xml:space="preserve">Цель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 данного исследования — определить социокультурные аспекты процессов глобализации и регионализации спорта.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В качестве </w:t>
      </w:r>
      <w:r>
        <w:rPr>
          <w:rFonts w:ascii="Times New Roman" w:hAnsi="Times New Roman" w:eastAsia="Times New Roman" w:cs="Times New Roman"/>
          <w:b/>
          <w:bCs/>
          <w:i w:val="0"/>
          <w:sz w:val="24"/>
          <w:szCs w:val="24"/>
          <w:highlight w:val="none"/>
          <w14:ligatures w14:val="none"/>
        </w:rPr>
        <w:t xml:space="preserve">источников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 используются «Олимпийские мемуары» основате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ля современного Олимпийского движения Пьера де Кубертена, документы Международного олимпийского комитета, тексты выступлений президента МОК Томаса Баха, нормативные акты Российской Федерации и стран БРИКС в сфере спорта, а именно № 329-ФЗ «О физической кул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ьтуре и спо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рте в Российской Федерации» в редакции от 26.12.2024, Стратегия развития физической культуры и спорта в РФ на период до 2030 года, Меморандум стран БРИКС о сотрудничестве в области физической культуры и спорта, статистические данные Министерства спорта РФ.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В конце XIX — начале XX вв. происходит возрождение Олимпийских игр, проводившихся в Древней Греции.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Инициатором стал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 французский общественный деятель Пьер де Кубертен. Взяв за основу региональную древнегреческую модель состязательности, он поставил цель объединить человечество в рамках международного Олимпийского движения. Для этого олимпийские идеи и спортивный опыт за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падных стран было необходимо распространить по всему миру, даже в самые отдаленные точки земного шара. С этой целью, например, Кубертен выступал с инициативой о проведении для «нецивилизованных народов» «независимой Олимпиады» в Латинской Америке и африкан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ских игр [3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]. Однако воплотить в жизнь эти идеи не удалось. Несмотря на это, принципы Олимпизма удалось распространить на глобальном уровне благодаря передаче культурного капитала, которая осуществлялась с помощью просветительской деятельности в разных регионах мира.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Согласно концепции французского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социолога Пьера Бурдье культурный капитал существует в трех состояниях: инкорпорированном, объективированном и институционализированном [1]. Инкорпорированным капиталом Олимпийского движения можно назвать олимпийские ценности (толерантность, солидарность,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вза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имоуважение) и принципы. Объективированной формой данного капитала будут выступать документы МОК, которые содержат в себе эти принципы, а также олимпийская символика, являющаяся материальным воплощением идей Олимпизма. К институционализированному состоянию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 капитала следует отнести авторские права на символику и в целом институт Олимпийского движения с его структурами и организациями, занимающимися объективацией инкорпорированного капитала, его дальнейшей передачей и получением прибыли как материальной, так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 нематериальной. Главным импульсом для распространения капитала Олимпийского движения и, как следствие, глобализации спорта стало развитие телекоммуникационных технологий [4]. В результате мировое сообщество приобщилось к олимпийским ценностям и принципам.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Важным аспектом глобализации спорта является его западоцентричность. Имеется вви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у то, что большинство олимпийских видов спорта — это продукт западной культуры. По этой причине возникла точка зрения, что унификация олимпийской системы на основе западных спортивных практик приводит к исчезновению национальных видов спорта [2]. Однако, к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ак показала данная работа, прямой зависимости между деятельностью МОК и сохранностью этнических форм физической активности нет, так как многое зависит от национальной и спортивной политики государства. Тем не менее, Олимпийское движение отчасти оказывает в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ли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яние на региональное развитие спорта и физической культуры, поскольку необходимость в высоких результатах на наиболее важных международных  соревнованиях для повышения имиджа страны заставляет государства отдавать приоритет поддержке олимпийских дисциплин.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Кроме того, ввиду отстранения российских атлетов от участия в Олимп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ийских играх и других соревнованиях сегодня возникает необходимость создания альтернативных систем состязательности на базе региональных объединений стран. Наиболее значимым из таких форматов сегодня являются Игры БРИКС. Однако по причине сохраняющегося дл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я предст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авителей других стран престижа Олимпийских игр и, как результат, недостаточного уровня конкуренции данные соревнования в полной мере не могут заменить участие в Олимпиаде. Несмотря на это, Игры БРИКС обладают потенциалом для дальнейшего развития, хотя мног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ое будет зависеть от международной политической обстановки. При этом стоит отметь, что этот формат вносит свой вклад в сохранение национальных видов спорта, так как уже сегодня в программу соревнований включены национальные спортивные практики стран БРИКС.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1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Таким образом, п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роведенное исследование показало, что существование глобального Олимпийского движения определяет траекторию развития спорта в мире, вследствие чего многообразие региональных форм физической активности может быть утеряно. Однако на сохранность этнических ви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дов спорта влияет не только стратегия государства по развитию спорта, но и национальная государственная политика, поэтому судьба традиционных спортивных практик будет зависеть от деятельности государства по сохранению нематериального культурного наследия.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center"/>
        <w:spacing w:after="0" w:afterAutospacing="1" w:line="240" w:lineRule="auto"/>
        <w:rPr>
          <w:rFonts w:ascii="Times New Roman" w:hAnsi="Times New Roman" w:eastAsia="Times New Roman" w:cs="Times New Roman"/>
          <w:b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sz w:val="24"/>
          <w:szCs w:val="24"/>
          <w:highlight w:val="none"/>
          <w14:ligatures w14:val="none"/>
        </w:rPr>
        <w:t xml:space="preserve">Литература</w:t>
      </w:r>
      <w:r>
        <w:rPr>
          <w:rFonts w:ascii="Times New Roman" w:hAnsi="Times New Roman" w:eastAsia="Times New Roman" w:cs="Times New Roman"/>
          <w:b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z w:val="24"/>
          <w:szCs w:val="24"/>
          <w:highlight w:val="none"/>
          <w14:ligatures w14:val="none"/>
        </w:rPr>
      </w:r>
    </w:p>
    <w:p>
      <w:pPr>
        <w:pStyle w:val="836"/>
        <w:numPr>
          <w:ilvl w:val="0"/>
          <w:numId w:val="1"/>
        </w:numPr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Бурдье П. Формы капитала //Journal of Economic Sociology. – 2002. – Т. 3. – №. 5.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14:ligatures w14:val="none"/>
        </w:rPr>
      </w:r>
    </w:p>
    <w:p>
      <w:pPr>
        <w:pStyle w:val="836"/>
        <w:numPr>
          <w:ilvl w:val="0"/>
          <w:numId w:val="1"/>
        </w:numPr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Кыласов А. В. Теория этноспорта. – 2012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14:ligatures w14:val="none"/>
        </w:rPr>
      </w:r>
    </w:p>
    <w:p>
      <w:pPr>
        <w:pStyle w:val="836"/>
        <w:numPr>
          <w:ilvl w:val="0"/>
          <w:numId w:val="1"/>
        </w:numPr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Pierre de Coubertin. Mémoires Olympiques. Lausanne, Bureau International de Pédagogie Sportive, 1931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pStyle w:val="836"/>
        <w:numPr>
          <w:ilvl w:val="0"/>
          <w:numId w:val="1"/>
        </w:numPr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Preuss H. The Economic Dimension of the Olympic Games. — 2010.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0" w:firstLine="397"/>
        <w:jc w:val="both"/>
        <w:spacing w:after="0" w:afterAutospacing="1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  <w:highlight w:val="none"/>
          <w14:ligatures w14:val="none"/>
        </w:rPr>
      </w:r>
    </w:p>
    <w:p>
      <w:pPr>
        <w:ind w:left="397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</w:p>
    <w:p>
      <w:pPr>
        <w:ind w:left="397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</w:p>
    <w:p>
      <w:pPr>
        <w:ind w:left="397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  <w14:ligatures w14:val="none"/>
        </w:rPr>
      </w:r>
    </w:p>
    <w:p>
      <w:pPr>
        <w:ind w:left="397"/>
        <w:jc w:val="center"/>
        <w:spacing w:after="0" w:afterAutospacing="0" w:line="240" w:lineRule="auto"/>
        <w:rPr>
          <w:rFonts w:ascii="Times New Roman" w:hAnsi="Times New Roman" w:cs="Times New Roman"/>
          <w:b w:val="0"/>
          <w:bCs/>
          <w:i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14:ligatures w14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1361" w:bottom="1134" w:left="136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7">
    <w:name w:val="Heading 1 Char"/>
    <w:link w:val="656"/>
    <w:uiPriority w:val="9"/>
    <w:rPr>
      <w:rFonts w:ascii="Liberation Sans" w:hAnsi="Liberation Sans" w:eastAsia="Liberation Sans" w:cs="Liberation Sans"/>
    </w:rPr>
  </w:style>
  <w:style w:type="paragraph" w:styleId="658">
    <w:name w:val="Heading 2"/>
    <w:basedOn w:val="656"/>
    <w:next w:val="832"/>
    <w:link w:val="659"/>
    <w:uiPriority w:val="9"/>
    <w:unhideWhenUsed/>
    <w:qFormat/>
    <w:rPr>
      <w:rFonts w:ascii="Liberation Sans" w:hAnsi="Liberation Sans" w:eastAsia="Liberation Sans" w:cs="Liberation Sans"/>
    </w:rPr>
  </w:style>
  <w:style w:type="character" w:styleId="659">
    <w:name w:val="Heading 2 Char"/>
    <w:link w:val="658"/>
    <w:uiPriority w:val="9"/>
    <w:rPr>
      <w:rFonts w:ascii="Liberation Sans" w:hAnsi="Liberation Sans" w:eastAsia="Liberation Sans" w:cs="Liberation Sans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1">
    <w:name w:val="Heading 3 Char"/>
    <w:link w:val="660"/>
    <w:uiPriority w:val="9"/>
    <w:rPr>
      <w:rFonts w:ascii="Liberation Sans" w:hAnsi="Liberation Sans" w:cs="Liberation Sans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Александра Дьячкова</cp:lastModifiedBy>
  <cp:revision>5</cp:revision>
  <dcterms:modified xsi:type="dcterms:W3CDTF">2025-02-27T12:28:30Z</dcterms:modified>
</cp:coreProperties>
</file>