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59CC" w14:textId="1AA3F51B" w:rsidR="00F86141" w:rsidRPr="00287373" w:rsidRDefault="00A149E5" w:rsidP="00CD3567">
      <w:pPr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  <w:r>
        <w:tab/>
      </w:r>
      <w:r w:rsidRPr="00287373">
        <w:rPr>
          <w:rFonts w:ascii="Times New Roman" w:hAnsi="Times New Roman" w:cs="Times New Roman"/>
          <w:sz w:val="24"/>
          <w:szCs w:val="24"/>
        </w:rPr>
        <w:t xml:space="preserve">Внезапное появление на выборах партии </w:t>
      </w:r>
      <w:r w:rsidRPr="00287373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287373">
        <w:rPr>
          <w:rFonts w:ascii="Times New Roman" w:hAnsi="Times New Roman" w:cs="Times New Roman"/>
          <w:sz w:val="24"/>
          <w:szCs w:val="24"/>
        </w:rPr>
        <w:t>Альтернатива для Германии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="00CD3567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(</w:t>
      </w:r>
      <w:r w:rsidR="003131AD" w:rsidRPr="00287373">
        <w:rPr>
          <w:rFonts w:ascii="Times New Roman" w:hAnsi="Times New Roman" w:cs="Times New Roman"/>
          <w:sz w:val="24"/>
          <w:szCs w:val="24"/>
        </w:rPr>
        <w:t xml:space="preserve">далее – </w:t>
      </w:r>
      <w:proofErr w:type="spellStart"/>
      <w:r w:rsidR="003131AD" w:rsidRPr="00287373">
        <w:rPr>
          <w:rFonts w:ascii="Times New Roman" w:hAnsi="Times New Roman" w:cs="Times New Roman"/>
          <w:sz w:val="24"/>
          <w:szCs w:val="24"/>
        </w:rPr>
        <w:t>АдГ</w:t>
      </w:r>
      <w:proofErr w:type="spellEnd"/>
      <w:r w:rsidR="003131AD" w:rsidRPr="00287373">
        <w:rPr>
          <w:rFonts w:ascii="Times New Roman" w:hAnsi="Times New Roman" w:cs="Times New Roman"/>
          <w:sz w:val="24"/>
          <w:szCs w:val="24"/>
        </w:rPr>
        <w:t xml:space="preserve"> – </w:t>
      </w:r>
      <w:r w:rsidR="003131AD" w:rsidRPr="00287373">
        <w:rPr>
          <w:rFonts w:ascii="Times New Roman" w:hAnsi="Times New Roman" w:cs="Times New Roman"/>
          <w:i/>
          <w:iCs/>
          <w:sz w:val="24"/>
          <w:szCs w:val="24"/>
        </w:rPr>
        <w:t>прим. автора</w:t>
      </w:r>
      <w:r w:rsidR="003131AD" w:rsidRPr="00287373">
        <w:rPr>
          <w:rFonts w:ascii="Times New Roman" w:hAnsi="Times New Roman" w:cs="Times New Roman"/>
          <w:sz w:val="24"/>
          <w:szCs w:val="24"/>
        </w:rPr>
        <w:t>)</w:t>
      </w:r>
      <w:r w:rsidRPr="00287373">
        <w:rPr>
          <w:rFonts w:ascii="Times New Roman" w:hAnsi="Times New Roman" w:cs="Times New Roman"/>
          <w:sz w:val="24"/>
          <w:szCs w:val="24"/>
        </w:rPr>
        <w:t xml:space="preserve"> в 2013 году оказалось </w:t>
      </w:r>
      <w:r w:rsidRPr="00287373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287373">
        <w:rPr>
          <w:rFonts w:ascii="Times New Roman" w:hAnsi="Times New Roman" w:cs="Times New Roman"/>
          <w:sz w:val="24"/>
          <w:szCs w:val="24"/>
        </w:rPr>
        <w:t>чёрным лебедем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», переполошившим политическое пространство Германии. </w:t>
      </w:r>
      <w:r w:rsidR="006C4A74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Баланс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политических сил </w:t>
      </w:r>
      <w:r w:rsidR="006C4A74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по принципу </w:t>
      </w:r>
      <w:r w:rsidR="008A15E4" w:rsidRPr="00287373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власт</w:t>
      </w:r>
      <w:r w:rsidR="006C4A74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ь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коалиции</w:t>
      </w:r>
      <w:r w:rsidR="008A15E4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="00F7169D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оказался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под угроз</w:t>
      </w:r>
      <w:r w:rsidR="00F7169D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ой</w:t>
      </w:r>
      <w:r w:rsidR="008A15E4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. Набрав 4,7% голосов (чуть более 2 миллионов</w:t>
      </w:r>
      <w:r w:rsidR="00F7169D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избирателей</w:t>
      </w:r>
      <w:r w:rsidR="008A15E4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) всего за полгода существования, молодая оппозиционная</w:t>
      </w:r>
      <w:r w:rsidR="00562BC7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«профессорская</w:t>
      </w:r>
      <w:r w:rsidR="008A15E4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партия</w:t>
      </w:r>
      <w:r w:rsidR="00562BC7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»</w:t>
      </w:r>
      <w:r w:rsidR="008A15E4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предзнаменовала </w:t>
      </w:r>
      <w:r w:rsidR="00F86141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консолидацию протестных идей под своей эгидой.</w:t>
      </w:r>
      <w:r w:rsidR="00562BC7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Если поначалу </w:t>
      </w:r>
      <w:proofErr w:type="spellStart"/>
      <w:r w:rsidR="003131AD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АдГ</w:t>
      </w:r>
      <w:proofErr w:type="spellEnd"/>
      <w:r w:rsidR="00562BC7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позиционировала свою политику вокруг одной тему – отмены евро – то уже в середине 2015 года фокус</w:t>
      </w:r>
      <w:r w:rsidR="00145940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сместился</w:t>
      </w:r>
      <w:r w:rsidR="00562BC7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с евро на </w:t>
      </w:r>
      <w:proofErr w:type="spellStart"/>
      <w:r w:rsidR="00562BC7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антимиграционную</w:t>
      </w:r>
      <w:proofErr w:type="spellEnd"/>
      <w:r w:rsidR="00562BC7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риторику, выступая против притока беженцев и исламизации. </w:t>
      </w:r>
    </w:p>
    <w:p w14:paraId="139D1FFF" w14:textId="626AF21F" w:rsidR="00562BC7" w:rsidRPr="00287373" w:rsidRDefault="00F86141" w:rsidP="00CD3567">
      <w:pPr>
        <w:ind w:firstLine="708"/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Уже на выборах в Бундестаг в 2017 году партия преодолела 5%-й барьер, получив 12,6% голосов и став третьей по численности фракцией в парламенте.</w:t>
      </w:r>
      <w:r w:rsidR="00145940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="00152588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Восточные избиратели, испытывавшие разочарование в социально-экономических условиях и ощущавшие угрозу от миграции, обеспечили </w:t>
      </w:r>
      <w:r w:rsidR="00BE7AAA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неожиданно</w:t>
      </w:r>
      <w:r w:rsidR="00152588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высокие результаты АдГ. </w:t>
      </w:r>
      <w:r w:rsidR="00B50569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В данном случае</w:t>
      </w:r>
      <w:r w:rsidR="00152588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ключевыми факторами успеха стали негодование по поводу миграционного кризиса и умелое обращение </w:t>
      </w:r>
      <w:proofErr w:type="spellStart"/>
      <w:r w:rsidR="00152588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АдГ</w:t>
      </w:r>
      <w:proofErr w:type="spellEnd"/>
      <w:r w:rsidR="00152588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к протестным настроениям.</w:t>
      </w:r>
    </w:p>
    <w:p w14:paraId="141069A6" w14:textId="1A13A86F" w:rsidR="003131AD" w:rsidRPr="00287373" w:rsidRDefault="00F86141" w:rsidP="00CD3567">
      <w:pPr>
        <w:ind w:firstLine="708"/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Рост популярности </w:t>
      </w:r>
      <w:proofErr w:type="spellStart"/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АдГ</w:t>
      </w:r>
      <w:proofErr w:type="spellEnd"/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="003131AD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основывался на следующем:</w:t>
      </w:r>
    </w:p>
    <w:p w14:paraId="6E60AA22" w14:textId="77777777" w:rsidR="003131AD" w:rsidRPr="00287373" w:rsidRDefault="00F86141" w:rsidP="003131AD">
      <w:pPr>
        <w:pStyle w:val="a7"/>
        <w:numPr>
          <w:ilvl w:val="0"/>
          <w:numId w:val="2"/>
        </w:numPr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партия сумела мобилизовать протестный электорат, недовольный политикой традиционных партий, особенно в отношении миграционного кризиса 2015 года. </w:t>
      </w:r>
    </w:p>
    <w:p w14:paraId="3833CB74" w14:textId="77777777" w:rsidR="003131AD" w:rsidRPr="00287373" w:rsidRDefault="00F86141" w:rsidP="003131AD">
      <w:pPr>
        <w:pStyle w:val="a7"/>
        <w:numPr>
          <w:ilvl w:val="0"/>
          <w:numId w:val="2"/>
        </w:numPr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  <w:proofErr w:type="spellStart"/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АдГ</w:t>
      </w:r>
      <w:proofErr w:type="spellEnd"/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использовала стратегию острой критики правящего истеблишмента, апеллируя к национальной идентичности, экономическим тревогам среднего класса и вопросам безопасности. </w:t>
      </w:r>
    </w:p>
    <w:p w14:paraId="60FB3AF2" w14:textId="3180E090" w:rsidR="00F86141" w:rsidRPr="00287373" w:rsidRDefault="00F86141" w:rsidP="003131AD">
      <w:pPr>
        <w:pStyle w:val="a7"/>
        <w:numPr>
          <w:ilvl w:val="0"/>
          <w:numId w:val="2"/>
        </w:numPr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партия активно работала с социальными сетями, используя цифровые платформы для распространения своих лозунгов и формирования альтернативной повестки.</w:t>
      </w:r>
    </w:p>
    <w:p w14:paraId="55F16E90" w14:textId="33FD2C12" w:rsidR="008C7C32" w:rsidRPr="00287373" w:rsidRDefault="00152588" w:rsidP="003131AD">
      <w:pPr>
        <w:ind w:firstLine="708"/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На федеральных выборах осенью 2021 года АдГ сдала позиции по сравнению с предыдущим успехом. Партия получила 10,3% голосов, откатившись с третьего места на пятое.  АдГ пыталась мобилизовать протест против локдаунов и карантинных мер</w:t>
      </w:r>
      <w:r w:rsidR="00F5380D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[3</w:t>
      </w:r>
      <w:r w:rsidR="00287373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, 81</w:t>
      </w:r>
      <w:r w:rsidR="00F5380D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]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, а также критиковала Евросоюз (вплоть до внесения в программу пункта о возможном выходе Германии из ЕС), но эти посылы</w:t>
      </w:r>
      <w:r w:rsidR="00D87348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лишь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оттолкнули часть умеренных избирателей</w:t>
      </w:r>
      <w:r w:rsidR="00145940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.</w:t>
      </w:r>
      <w:r w:rsidR="003131AD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proofErr w:type="spellStart"/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АдГ</w:t>
      </w:r>
      <w:proofErr w:type="spellEnd"/>
      <w:r w:rsidR="00145940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постепенно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укрепилась как «восточная» оппозиционная сила, даже потеряв часть общенациональной поддержки. Факторами неудачи на федеральном уровне стали снижение остроты миграционного вопроса и оттолкнувшие часть публики крайние инициативы, а факторами успеха на востоке – сохраняющееся чувство обделенности жителей бывшей ГДР и протест против «старых партий»</w:t>
      </w:r>
      <w:r w:rsidR="00F5380D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[1]</w:t>
      </w:r>
      <w:r w:rsidR="008C7C32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.</w:t>
      </w:r>
    </w:p>
    <w:p w14:paraId="30471866" w14:textId="3A78BCC6" w:rsidR="00F86141" w:rsidRPr="00287373" w:rsidRDefault="00F86141" w:rsidP="00CD3567">
      <w:pPr>
        <w:ind w:firstLine="708"/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Парламентские выборы 2025 года стали решающим моментом для АдГ. На фоне роста евроскептицизма, недовольства политикой в области энергетики и разочарования работой правящей коалиции, партия смогла привлечь новых избирателей. Успех АдГ на этих выборах свидетельствует не только о трансформации немецкой политической системы, но и о глубоком кризисе доверия к традиционным партиям, вынужденным искать новые пути для сохранения коалиционного баланса.</w:t>
      </w:r>
    </w:p>
    <w:p w14:paraId="0FC6D123" w14:textId="1C59CCC4" w:rsidR="00CD3567" w:rsidRPr="00287373" w:rsidRDefault="00152588" w:rsidP="00CD3567">
      <w:pPr>
        <w:ind w:firstLine="708"/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К началу выборов 2025 года АдГ подошла более монолитной, но и более радикальной, чем в прежние годы. После выхода из партии всех основателей-«реформаторов» (Луке, Петри, </w:t>
      </w:r>
      <w:proofErr w:type="spellStart"/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Мойтен</w:t>
      </w:r>
      <w:proofErr w:type="spellEnd"/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) внутри не осталось значимых внутренних оппонентов крайнему курсу​</w:t>
      </w:r>
      <w:r w:rsidR="00CD3567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. 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Сопредседатели </w:t>
      </w:r>
      <w:proofErr w:type="spellStart"/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Тино</w:t>
      </w:r>
      <w:proofErr w:type="spellEnd"/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proofErr w:type="spellStart"/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Хрупалла</w:t>
      </w:r>
      <w:proofErr w:type="spellEnd"/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и Алиса </w:t>
      </w:r>
      <w:proofErr w:type="spellStart"/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Вайдль</w:t>
      </w:r>
      <w:proofErr w:type="spellEnd"/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представляли единый фронт национал-популистского руководства, акцентируя жёсткую </w:t>
      </w:r>
      <w:proofErr w:type="spellStart"/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антиммиграционную</w:t>
      </w:r>
      <w:proofErr w:type="spellEnd"/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, </w:t>
      </w:r>
      <w:proofErr w:type="spellStart"/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антиэлитную</w:t>
      </w:r>
      <w:proofErr w:type="spellEnd"/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и евроскептическую идеологию. Стратегически партия сместилась ещё правее, делая упор на темы «защиты 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lastRenderedPageBreak/>
        <w:t xml:space="preserve">национальных интересов» – </w:t>
      </w:r>
      <w:r w:rsidR="00145940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от требования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закрыть границы для нелегальной миграции до критики «зелёной» политики правительства и санкций против России.</w:t>
      </w:r>
    </w:p>
    <w:p w14:paraId="5337E4D6" w14:textId="19CA09F8" w:rsidR="00A7072F" w:rsidRPr="00287373" w:rsidRDefault="00152588" w:rsidP="006C2AA9">
      <w:pPr>
        <w:ind w:firstLine="708"/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Парламентские выборы в феврале 2025 года принесли АдГ исторический успех – партия заняла 2-е место с 20,8% голосов​, более чем вдвое улучшив свой предыдущий результат (в 2021-м было 10,3%)​. </w:t>
      </w:r>
      <w:r w:rsidR="003131AD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П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артия получила первое место во всех пяти землях бывшей ГДР</w:t>
      </w:r>
      <w:r w:rsidR="003131AD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, чем подтвердила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="003131AD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становление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доминирующ</w:t>
      </w:r>
      <w:r w:rsidR="003131AD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ей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политическ</w:t>
      </w:r>
      <w:r w:rsidR="003131AD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ой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сил</w:t>
      </w:r>
      <w:r w:rsidR="003131AD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ой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Восточной Германии. Ключевыми факторами успеха 2025 года стали сильное протестное настроение против правящей коалиции и экономических трудностей</w:t>
      </w:r>
      <w:r w:rsidR="009B5A25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, активное использование социальных сетей для пропаганды в электоральной борьбе</w:t>
      </w:r>
      <w:r w:rsidR="00F5380D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[2]</w:t>
      </w:r>
      <w:r w:rsidR="009B5A25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и изменение образа избирателя из восточных земель</w:t>
      </w:r>
      <w:r w:rsidR="007B3FEB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.</w:t>
      </w:r>
    </w:p>
    <w:p w14:paraId="5DF48C6F" w14:textId="6DCDC770" w:rsidR="00CD3567" w:rsidRPr="00287373" w:rsidRDefault="007B3FEB" w:rsidP="00A7072F">
      <w:pPr>
        <w:ind w:firstLine="708"/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Едва ли миф о бессилии восточных </w:t>
      </w:r>
      <w:r w:rsidR="003131AD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немцев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будет по-прежнему актуален. В связи с рекордным успехом на последних выборах более вероятна </w:t>
      </w:r>
      <w:r w:rsidR="002812B8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следующая 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ситуация</w:t>
      </w:r>
      <w:r w:rsidR="002812B8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: 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протестующ</w:t>
      </w:r>
      <w:r w:rsidR="002812B8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ие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«осси», </w:t>
      </w:r>
      <w:r w:rsidR="002812B8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чей радикализованный образ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по итогу</w:t>
      </w:r>
      <w:r w:rsidR="002812B8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предыдущих выборов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="002812B8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сводился к социокультурной мифологизации и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политической демонизаци</w:t>
      </w:r>
      <w:r w:rsidR="002812B8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и, тепер</w:t>
      </w:r>
      <w:r w:rsidR="00A13246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ь ста</w:t>
      </w:r>
      <w:r w:rsidR="003131AD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нут считать</w:t>
      </w:r>
      <w:r w:rsidR="00A13246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равноправными членами бундестага. А принципиальный отказ вступать с оппозиционной партией в коалицию</w:t>
      </w:r>
      <w:r w:rsidR="003131AD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[4]</w:t>
      </w:r>
      <w:r w:rsidR="00A13246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значительно затруднит продвижение политики победившей партии ХДС/ХСС.</w:t>
      </w:r>
      <w:r w:rsidR="00F5380D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="008C7C32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В</w:t>
      </w:r>
      <w:r w:rsidR="00152588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ыборы 2025 года стали кульминацией десятилетнего роста АдГ: из небольшой группы евроскептиков она превратилась во вторую по поддержке партию Германии, хотя её влияние по-прежнему диспропорционально сконцентрировано на востоке страны.</w:t>
      </w:r>
    </w:p>
    <w:p w14:paraId="2AA13BE8" w14:textId="3F3FCC3C" w:rsidR="00B26F87" w:rsidRPr="00287373" w:rsidRDefault="00152588" w:rsidP="00705A9C">
      <w:pPr>
        <w:ind w:firstLine="708"/>
        <w:jc w:val="both"/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</w:pP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В совокупности путь АдГ от 2013 к 2025 годам демонстрирует эволюцию от нишевой евроскептической группы к главной правой оппозиционной силе Германии. Успехи и неудачи партии тесно связаны с внутренними трансформациями (смещение от умеренного консерватизма к радикальному национализму, сопровождавшееся уходом основателей и консолидацией крайнего крыла) и с внешними факторами – прежде всего с повесткой дня в стране. При этом</w:t>
      </w:r>
      <w:r w:rsidR="00A7072F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становится всё более выраженной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 географическ</w:t>
      </w:r>
      <w:r w:rsidR="00A7072F"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ая поляризация </w:t>
      </w:r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электората: если изначально разница Восток–Запад была не столь значительна, то к 2025 году АдГ стала партией преимущественно восточных немцев, выражающей протест жителей бывшей ГДР против статуса-</w:t>
      </w:r>
      <w:proofErr w:type="spellStart"/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кво</w:t>
      </w:r>
      <w:proofErr w:type="spellEnd"/>
      <w:r w:rsidRPr="00287373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>​.</w:t>
      </w:r>
    </w:p>
    <w:p w14:paraId="78E8225D" w14:textId="77777777" w:rsidR="00F5380D" w:rsidRPr="00287373" w:rsidRDefault="00F5380D" w:rsidP="00F538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A4C">
        <w:rPr>
          <w:rFonts w:ascii="Times New Roman" w:hAnsi="Times New Roman" w:cs="Times New Roman"/>
          <w:b/>
          <w:bCs/>
          <w:sz w:val="24"/>
          <w:szCs w:val="24"/>
        </w:rPr>
        <w:t>Источники</w:t>
      </w:r>
      <w:r w:rsidRPr="00287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2A4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87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2A4C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3AAE8F4" w14:textId="77777777" w:rsidR="00F5380D" w:rsidRPr="00F5380D" w:rsidRDefault="00F5380D" w:rsidP="00F5380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5380D">
        <w:rPr>
          <w:rFonts w:ascii="Times New Roman" w:hAnsi="Times New Roman" w:cs="Times New Roman"/>
          <w:sz w:val="24"/>
          <w:szCs w:val="24"/>
        </w:rPr>
        <w:t xml:space="preserve">1. Бардин Г. Е. Влияние </w:t>
      </w:r>
      <w:proofErr w:type="spellStart"/>
      <w:r w:rsidRPr="00F5380D">
        <w:rPr>
          <w:rFonts w:ascii="Times New Roman" w:hAnsi="Times New Roman" w:cs="Times New Roman"/>
          <w:sz w:val="24"/>
          <w:szCs w:val="24"/>
        </w:rPr>
        <w:t>остальгии</w:t>
      </w:r>
      <w:proofErr w:type="spellEnd"/>
      <w:r w:rsidRPr="00F5380D">
        <w:rPr>
          <w:rFonts w:ascii="Times New Roman" w:hAnsi="Times New Roman" w:cs="Times New Roman"/>
          <w:sz w:val="24"/>
          <w:szCs w:val="24"/>
        </w:rPr>
        <w:t xml:space="preserve"> и существования ГДР на политическую и </w:t>
      </w:r>
      <w:proofErr w:type="spellStart"/>
      <w:r w:rsidRPr="00F5380D">
        <w:rPr>
          <w:rFonts w:ascii="Times New Roman" w:hAnsi="Times New Roman" w:cs="Times New Roman"/>
          <w:sz w:val="24"/>
          <w:szCs w:val="24"/>
        </w:rPr>
        <w:t>соци</w:t>
      </w:r>
      <w:proofErr w:type="spellEnd"/>
      <w:r w:rsidRPr="00F5380D">
        <w:rPr>
          <w:rFonts w:ascii="Times New Roman" w:hAnsi="Times New Roman" w:cs="Times New Roman"/>
          <w:sz w:val="24"/>
          <w:szCs w:val="24"/>
        </w:rPr>
        <w:t>-</w:t>
      </w:r>
    </w:p>
    <w:p w14:paraId="74045050" w14:textId="77777777" w:rsidR="00F5380D" w:rsidRPr="00F5380D" w:rsidRDefault="00F5380D" w:rsidP="00F5380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80D">
        <w:rPr>
          <w:rFonts w:ascii="Times New Roman" w:hAnsi="Times New Roman" w:cs="Times New Roman"/>
          <w:sz w:val="24"/>
          <w:szCs w:val="24"/>
        </w:rPr>
        <w:t>альную</w:t>
      </w:r>
      <w:proofErr w:type="spellEnd"/>
      <w:r w:rsidRPr="00F5380D">
        <w:rPr>
          <w:rFonts w:ascii="Times New Roman" w:hAnsi="Times New Roman" w:cs="Times New Roman"/>
          <w:sz w:val="24"/>
          <w:szCs w:val="24"/>
        </w:rPr>
        <w:t xml:space="preserve"> повестку ФРГ // История и современное мировоззрение. 2022. Т. 4. №2. С. 138</w:t>
      </w:r>
    </w:p>
    <w:p w14:paraId="2394400B" w14:textId="77777777" w:rsidR="00F5380D" w:rsidRPr="00F5380D" w:rsidRDefault="00F5380D" w:rsidP="00F5380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5380D">
        <w:rPr>
          <w:rFonts w:ascii="Times New Roman" w:eastAsia="Georgia" w:hAnsi="Times New Roman" w:cs="Times New Roman"/>
          <w:spacing w:val="-6"/>
          <w:kern w:val="0"/>
          <w:sz w:val="24"/>
          <w:szCs w:val="24"/>
          <w14:ligatures w14:val="none"/>
        </w:rPr>
        <w:t xml:space="preserve">2. </w:t>
      </w:r>
      <w:proofErr w:type="spellStart"/>
      <w:r w:rsidRPr="00F5380D">
        <w:rPr>
          <w:rStyle w:val="af2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Bundestagswahl</w:t>
      </w:r>
      <w:proofErr w:type="spellEnd"/>
      <w:r w:rsidRPr="00F5380D">
        <w:rPr>
          <w:rStyle w:val="af2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2025: </w:t>
      </w:r>
      <w:proofErr w:type="spellStart"/>
      <w:r w:rsidRPr="00F5380D">
        <w:rPr>
          <w:rStyle w:val="af2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AfD</w:t>
      </w:r>
      <w:proofErr w:type="spellEnd"/>
      <w:r w:rsidRPr="00F5380D">
        <w:rPr>
          <w:rStyle w:val="af2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5380D">
        <w:rPr>
          <w:rStyle w:val="af2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dominiert</w:t>
      </w:r>
      <w:proofErr w:type="spellEnd"/>
      <w:r w:rsidRPr="00F5380D">
        <w:rPr>
          <w:rStyle w:val="af2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F5380D">
        <w:rPr>
          <w:rStyle w:val="af2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Social</w:t>
      </w:r>
      <w:r w:rsidRPr="00F5380D">
        <w:rPr>
          <w:rStyle w:val="af2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F5380D">
        <w:rPr>
          <w:rStyle w:val="af2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Media</w:t>
      </w:r>
      <w:r w:rsidRPr="00F538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53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[Электронный ресурс] // </w:t>
      </w:r>
      <w:r w:rsidRPr="00F538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ZDF</w:t>
      </w:r>
      <w:r w:rsidRPr="00F5380D">
        <w:rPr>
          <w:rFonts w:ascii="Times New Roman" w:eastAsia="Times New Roman" w:hAnsi="Times New Roman" w:cs="Times New Roman"/>
          <w:color w:val="000000"/>
          <w:sz w:val="24"/>
          <w:szCs w:val="24"/>
        </w:rPr>
        <w:t>: [статья]. [2025]. URL:</w:t>
      </w:r>
      <w:r w:rsidRPr="00F538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5380D">
        <w:rPr>
          <w:rFonts w:ascii="Times New Roman" w:eastAsia="Times New Roman" w:hAnsi="Times New Roman" w:cs="Times New Roman"/>
          <w:sz w:val="24"/>
          <w:szCs w:val="24"/>
        </w:rPr>
        <w:t>https://www.zdf.de/nachrichten/politik/deutschland/bundestagswahl-2025-social-media-junge-waehler-100.html</w:t>
      </w:r>
      <w:r w:rsidRPr="00F538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5380D">
        <w:rPr>
          <w:rFonts w:ascii="Times New Roman" w:eastAsia="Times New Roman" w:hAnsi="Times New Roman" w:cs="Times New Roman"/>
          <w:color w:val="000000"/>
          <w:sz w:val="24"/>
          <w:szCs w:val="24"/>
        </w:rPr>
        <w:t>(дата обращения: 28.02.2025).</w:t>
      </w:r>
    </w:p>
    <w:p w14:paraId="31C68E19" w14:textId="42704D49" w:rsidR="00F5380D" w:rsidRPr="00F5380D" w:rsidRDefault="00F5380D" w:rsidP="00F5380D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F5380D">
        <w:rPr>
          <w:rFonts w:ascii="Times New Roman" w:hAnsi="Times New Roman" w:cs="Times New Roman"/>
          <w:sz w:val="24"/>
          <w:szCs w:val="24"/>
          <w:lang w:val="de-DE"/>
        </w:rPr>
        <w:t xml:space="preserve">3. </w:t>
      </w:r>
      <w:r w:rsidRPr="00F5380D">
        <w:rPr>
          <w:rStyle w:val="af2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de-DE"/>
        </w:rPr>
        <w:t>Möller, A., Schröder, M., &amp; Witte, T.</w:t>
      </w:r>
      <w:r w:rsidRPr="00F538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F5380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AfD-Affinitäten, Corona-bezogene Einstellungen und Proteste gegen die Corona-Maßnahmen: Eine empirische Analyse auf Bundesländerebene //</w:t>
      </w:r>
      <w:r w:rsidRPr="00F5380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</w:t>
      </w:r>
      <w:r w:rsidRPr="00F5380D">
        <w:rPr>
          <w:rStyle w:val="af2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de-DE"/>
        </w:rPr>
        <w:t>MIP – Methoden, Innovationen, Praxis</w:t>
      </w:r>
      <w:r w:rsidRPr="00F53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. </w:t>
      </w:r>
      <w:r w:rsidRPr="00F5380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2022</w:t>
      </w:r>
      <w:r w:rsidRPr="00F53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.</w:t>
      </w:r>
      <w:r w:rsidRPr="00F5380D">
        <w:rPr>
          <w:rStyle w:val="apple-converted-space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 </w:t>
      </w:r>
      <w:r w:rsidRPr="00F5380D">
        <w:rPr>
          <w:rStyle w:val="af2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de-DE"/>
        </w:rPr>
        <w:t>T. 6, №2</w:t>
      </w:r>
      <w:r w:rsidRPr="00F53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. </w:t>
      </w:r>
      <w:r w:rsidRPr="00F5380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S. </w:t>
      </w:r>
      <w:r w:rsidR="0028737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67-94</w:t>
      </w:r>
      <w:r w:rsidRPr="00F5380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</w:t>
      </w:r>
    </w:p>
    <w:p w14:paraId="4BBBC412" w14:textId="672F0750" w:rsidR="00F5380D" w:rsidRPr="00287373" w:rsidRDefault="00F5380D" w:rsidP="00F5380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5380D">
        <w:rPr>
          <w:rFonts w:ascii="Times New Roman" w:hAnsi="Times New Roman" w:cs="Times New Roman"/>
          <w:sz w:val="24"/>
          <w:szCs w:val="24"/>
          <w:lang w:val="de-DE"/>
        </w:rPr>
        <w:t xml:space="preserve">4. </w:t>
      </w:r>
      <w:r w:rsidRPr="00F538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de-DE" w:eastAsia="ru-RU"/>
          <w14:ligatures w14:val="none"/>
        </w:rPr>
        <w:t>Wie es nach der Bundestagswahl jetzt weitergehen könnte [</w:t>
      </w:r>
      <w:r w:rsidRPr="00F538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Электронный</w:t>
      </w:r>
      <w:r w:rsidRPr="00F538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de-DE" w:eastAsia="ru-RU"/>
          <w14:ligatures w14:val="none"/>
        </w:rPr>
        <w:t xml:space="preserve"> </w:t>
      </w:r>
      <w:r w:rsidRPr="00F538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ресурс</w:t>
      </w:r>
      <w:r w:rsidRPr="00F538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de-DE" w:eastAsia="ru-RU"/>
          <w14:ligatures w14:val="none"/>
        </w:rPr>
        <w:t>] // Deutschlandfunk: [</w:t>
      </w:r>
      <w:r w:rsidRPr="00F538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статья</w:t>
      </w:r>
      <w:r w:rsidRPr="00F538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de-DE" w:eastAsia="ru-RU"/>
          <w14:ligatures w14:val="none"/>
        </w:rPr>
        <w:t xml:space="preserve">]. </w:t>
      </w:r>
      <w:r w:rsidRPr="00F538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[25.02.2025]. URL: </w:t>
      </w:r>
      <w:hyperlink r:id="rId8" w:tgtFrame="_new" w:history="1">
        <w:r w:rsidRPr="0028737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lang w:eastAsia="ru-RU"/>
            <w14:ligatures w14:val="none"/>
          </w:rPr>
          <w:t>https://www.deutschlandfun</w:t>
        </w:r>
        <w:r w:rsidRPr="0028737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lang w:eastAsia="ru-RU"/>
            <w14:ligatures w14:val="none"/>
          </w:rPr>
          <w:t>k</w:t>
        </w:r>
        <w:r w:rsidRPr="0028737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lang w:eastAsia="ru-RU"/>
            <w14:ligatures w14:val="none"/>
          </w:rPr>
          <w:t>.de/bundestagswahl-konsequenzen-koalitionsoptionen-100.html</w:t>
        </w:r>
      </w:hyperlink>
      <w:r w:rsidRPr="00F538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(дата обращения: 28.02.2025)</w:t>
      </w:r>
    </w:p>
    <w:sectPr w:rsidR="00F5380D" w:rsidRPr="0028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F9478" w14:textId="77777777" w:rsidR="001C73FD" w:rsidRDefault="001C73FD" w:rsidP="00562BC7">
      <w:pPr>
        <w:spacing w:after="0" w:line="240" w:lineRule="auto"/>
      </w:pPr>
      <w:r>
        <w:separator/>
      </w:r>
    </w:p>
  </w:endnote>
  <w:endnote w:type="continuationSeparator" w:id="0">
    <w:p w14:paraId="1A506657" w14:textId="77777777" w:rsidR="001C73FD" w:rsidRDefault="001C73FD" w:rsidP="0056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2A0A5" w14:textId="77777777" w:rsidR="001C73FD" w:rsidRDefault="001C73FD" w:rsidP="00562BC7">
      <w:pPr>
        <w:spacing w:after="0" w:line="240" w:lineRule="auto"/>
      </w:pPr>
      <w:r>
        <w:separator/>
      </w:r>
    </w:p>
  </w:footnote>
  <w:footnote w:type="continuationSeparator" w:id="0">
    <w:p w14:paraId="2AB57536" w14:textId="77777777" w:rsidR="001C73FD" w:rsidRDefault="001C73FD" w:rsidP="00562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72D9"/>
    <w:multiLevelType w:val="multilevel"/>
    <w:tmpl w:val="7514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018FC"/>
    <w:multiLevelType w:val="hybridMultilevel"/>
    <w:tmpl w:val="498C0AEA"/>
    <w:lvl w:ilvl="0" w:tplc="596C04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42340414">
    <w:abstractNumId w:val="0"/>
  </w:num>
  <w:num w:numId="2" w16cid:durableId="516433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C0"/>
    <w:rsid w:val="00073746"/>
    <w:rsid w:val="00145940"/>
    <w:rsid w:val="00152588"/>
    <w:rsid w:val="001A34FA"/>
    <w:rsid w:val="001C73FD"/>
    <w:rsid w:val="002812B8"/>
    <w:rsid w:val="00287373"/>
    <w:rsid w:val="002C2E35"/>
    <w:rsid w:val="003131AD"/>
    <w:rsid w:val="003410AE"/>
    <w:rsid w:val="004458BA"/>
    <w:rsid w:val="004860E1"/>
    <w:rsid w:val="004A3F38"/>
    <w:rsid w:val="004B07FD"/>
    <w:rsid w:val="00506768"/>
    <w:rsid w:val="005568A4"/>
    <w:rsid w:val="00562BC7"/>
    <w:rsid w:val="00627BEF"/>
    <w:rsid w:val="00644DBF"/>
    <w:rsid w:val="00664911"/>
    <w:rsid w:val="006C2AA9"/>
    <w:rsid w:val="006C4A74"/>
    <w:rsid w:val="00705A9C"/>
    <w:rsid w:val="007B05DA"/>
    <w:rsid w:val="007B3FEB"/>
    <w:rsid w:val="007D563B"/>
    <w:rsid w:val="008547A9"/>
    <w:rsid w:val="008A15E4"/>
    <w:rsid w:val="008C7C32"/>
    <w:rsid w:val="008E52E0"/>
    <w:rsid w:val="00951B77"/>
    <w:rsid w:val="00990F51"/>
    <w:rsid w:val="00995F15"/>
    <w:rsid w:val="009B5A25"/>
    <w:rsid w:val="009C3828"/>
    <w:rsid w:val="009E114F"/>
    <w:rsid w:val="009F296D"/>
    <w:rsid w:val="00A13246"/>
    <w:rsid w:val="00A149E5"/>
    <w:rsid w:val="00A57EAC"/>
    <w:rsid w:val="00A7072F"/>
    <w:rsid w:val="00B12E3F"/>
    <w:rsid w:val="00B26F87"/>
    <w:rsid w:val="00B50569"/>
    <w:rsid w:val="00BE7AAA"/>
    <w:rsid w:val="00C04F72"/>
    <w:rsid w:val="00CD3567"/>
    <w:rsid w:val="00D470F3"/>
    <w:rsid w:val="00D6085E"/>
    <w:rsid w:val="00D65FFA"/>
    <w:rsid w:val="00D87348"/>
    <w:rsid w:val="00DB17B8"/>
    <w:rsid w:val="00E629C0"/>
    <w:rsid w:val="00EA782C"/>
    <w:rsid w:val="00EB2D4D"/>
    <w:rsid w:val="00EC247C"/>
    <w:rsid w:val="00F00347"/>
    <w:rsid w:val="00F0145E"/>
    <w:rsid w:val="00F17386"/>
    <w:rsid w:val="00F339F0"/>
    <w:rsid w:val="00F5380D"/>
    <w:rsid w:val="00F7169D"/>
    <w:rsid w:val="00F86141"/>
    <w:rsid w:val="00FD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A3D7"/>
  <w15:chartTrackingRefBased/>
  <w15:docId w15:val="{3AE63877-E7D8-449A-ABF0-BAC37B1E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F87"/>
  </w:style>
  <w:style w:type="paragraph" w:styleId="1">
    <w:name w:val="heading 1"/>
    <w:basedOn w:val="a"/>
    <w:next w:val="a"/>
    <w:link w:val="10"/>
    <w:uiPriority w:val="9"/>
    <w:qFormat/>
    <w:rsid w:val="00E62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2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2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29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29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9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29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29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29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2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2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2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2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9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29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29C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2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29C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29C0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562BC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62BC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62BC7"/>
    <w:rPr>
      <w:vertAlign w:val="superscript"/>
    </w:rPr>
  </w:style>
  <w:style w:type="character" w:styleId="af">
    <w:name w:val="Hyperlink"/>
    <w:basedOn w:val="a0"/>
    <w:uiPriority w:val="99"/>
    <w:unhideWhenUsed/>
    <w:rsid w:val="0015258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5258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52588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C04F72"/>
    <w:rPr>
      <w:b/>
      <w:bCs/>
    </w:rPr>
  </w:style>
  <w:style w:type="character" w:customStyle="1" w:styleId="apple-converted-space">
    <w:name w:val="apple-converted-space"/>
    <w:basedOn w:val="a0"/>
    <w:rsid w:val="00C04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4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0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utschlandfunk.de/bundestagswahl-konsequenzen-koalitionsoptionen-10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E4F4-1A2E-46DC-99AE-18230767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Рожнов</dc:creator>
  <cp:keywords/>
  <dc:description/>
  <cp:lastModifiedBy>Роман Рожнов</cp:lastModifiedBy>
  <cp:revision>5</cp:revision>
  <dcterms:created xsi:type="dcterms:W3CDTF">2025-02-28T15:18:00Z</dcterms:created>
  <dcterms:modified xsi:type="dcterms:W3CDTF">2025-03-07T07:53:00Z</dcterms:modified>
</cp:coreProperties>
</file>