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F6CD" w14:textId="77777777" w:rsidR="00B63AD6" w:rsidRPr="00CE010C" w:rsidRDefault="00B63AD6" w:rsidP="00AC7E2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3AD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Влияние акселерационных экосистем на результативность стратегии устойчивости российских коммуникационных цифровых компаний</w:t>
      </w:r>
    </w:p>
    <w:p w14:paraId="14AFA0D1" w14:textId="4AABF722" w:rsidR="00B63AD6" w:rsidRPr="00B63AD6" w:rsidRDefault="00F423F7" w:rsidP="00AC7E2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Ковалевский Владислав Максимович</w:t>
      </w:r>
    </w:p>
    <w:p w14:paraId="30B92FAB" w14:textId="3FE859F8" w:rsidR="00B63AD6" w:rsidRPr="00B63AD6" w:rsidRDefault="00630286" w:rsidP="00AC7E2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(бакалавр)</w:t>
      </w:r>
    </w:p>
    <w:p w14:paraId="4B66805F" w14:textId="3E00671F" w:rsidR="00B63AD6" w:rsidRPr="00B63AD6" w:rsidRDefault="00F30AD0" w:rsidP="00AC7E2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0AD0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Национальный исследовательский университет Высшая школа экономики</w:t>
      </w:r>
      <w:r w:rsidR="00B63AD6" w:rsidRPr="00B63AD6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</w:p>
    <w:p w14:paraId="3657A0C4" w14:textId="1BD627A4" w:rsidR="00B63AD6" w:rsidRPr="00B63AD6" w:rsidRDefault="00F30AD0" w:rsidP="00AC7E2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Высшая школа бизнеса</w:t>
      </w:r>
      <w:r w:rsidR="00B63AD6" w:rsidRPr="00B63AD6">
        <w:rPr>
          <w:rFonts w:ascii="Times New Roman" w:hAnsi="Times New Roman" w:cs="Times New Roman"/>
          <w:i/>
          <w:iCs/>
          <w:sz w:val="24"/>
          <w:szCs w:val="24"/>
          <w:lang w:val="ru-RU"/>
        </w:rPr>
        <w:t>, Москва, Россия</w:t>
      </w:r>
    </w:p>
    <w:p w14:paraId="293BE5ED" w14:textId="7E8C35E1" w:rsidR="00B63AD6" w:rsidRPr="004646D5" w:rsidRDefault="00B63AD6" w:rsidP="00AC7E2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3AD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646D5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Pr="00B63AD6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4646D5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="00F30AD0" w:rsidRPr="004646D5">
        <w:rPr>
          <w:lang w:val="en-US"/>
        </w:rPr>
        <w:t xml:space="preserve"> </w:t>
      </w:r>
      <w:r w:rsidR="004646D5" w:rsidRPr="004646D5">
        <w:rPr>
          <w:rFonts w:ascii="Times New Roman" w:hAnsi="Times New Roman" w:cs="Times New Roman"/>
          <w:i/>
          <w:iCs/>
          <w:sz w:val="24"/>
          <w:szCs w:val="24"/>
          <w:lang w:val="en-US"/>
        </w:rPr>
        <w:t>vmkovalevskiy@edu.hse.ru</w:t>
      </w:r>
    </w:p>
    <w:p w14:paraId="53DFB2E3" w14:textId="40501E38" w:rsidR="008370A0" w:rsidRDefault="008370A0" w:rsidP="00432C4B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0A0">
        <w:rPr>
          <w:rFonts w:ascii="Times New Roman" w:hAnsi="Times New Roman" w:cs="Times New Roman"/>
          <w:sz w:val="24"/>
          <w:szCs w:val="24"/>
        </w:rPr>
        <w:t xml:space="preserve">В контексте современной научной дискуссии важным становится изучение факторов развития стартапов, прошедших акселерацию. Несмотря на растущий интерес к предпринимательству и инновациям, в отечественной практике недостаточно представлен комплексный анализ таких компаний, основанный на </w:t>
      </w:r>
      <w:proofErr w:type="spellStart"/>
      <w:r w:rsidRPr="008370A0">
        <w:rPr>
          <w:rFonts w:ascii="Times New Roman" w:hAnsi="Times New Roman" w:cs="Times New Roman"/>
          <w:sz w:val="24"/>
          <w:szCs w:val="24"/>
        </w:rPr>
        <w:t>data-driven</w:t>
      </w:r>
      <w:proofErr w:type="spellEnd"/>
      <w:r w:rsidRPr="008370A0">
        <w:rPr>
          <w:rFonts w:ascii="Times New Roman" w:hAnsi="Times New Roman" w:cs="Times New Roman"/>
          <w:sz w:val="24"/>
          <w:szCs w:val="24"/>
        </w:rPr>
        <w:t xml:space="preserve"> подходе. Отсутствие подобного анализа снижает шансы стартапов успешно преодолеть этап,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связанный с</w:t>
      </w:r>
      <w:r w:rsidRPr="008370A0">
        <w:rPr>
          <w:rFonts w:ascii="Times New Roman" w:hAnsi="Times New Roman" w:cs="Times New Roman"/>
          <w:sz w:val="24"/>
          <w:szCs w:val="24"/>
        </w:rPr>
        <w:t xml:space="preserve"> высоким риском и недостатком финансирования, когда идеи и технологии еще не доказали свою коммерческую жизнеспособность и не начали приносить доход. В результате экономика лишается перспективных цифровых решений, что тормозит развитие инновационной экосистемы. Data-</w:t>
      </w:r>
      <w:proofErr w:type="spellStart"/>
      <w:r w:rsidRPr="008370A0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8370A0">
        <w:rPr>
          <w:rFonts w:ascii="Times New Roman" w:hAnsi="Times New Roman" w:cs="Times New Roman"/>
          <w:sz w:val="24"/>
          <w:szCs w:val="24"/>
        </w:rPr>
        <w:t xml:space="preserve"> подход, напротив, позволяет оценить успешность проектов, выявить динамику изменений и общие закономерности развития стартапов, обогащая тем самым теорию и практику предпринимательства.</w:t>
      </w:r>
    </w:p>
    <w:p w14:paraId="7379EE8E" w14:textId="77777777" w:rsidR="00891E35" w:rsidRDefault="00F423F7" w:rsidP="00432C4B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23F7">
        <w:rPr>
          <w:rFonts w:ascii="Times New Roman" w:hAnsi="Times New Roman" w:cs="Times New Roman"/>
          <w:bCs/>
          <w:sz w:val="24"/>
          <w:szCs w:val="24"/>
          <w:lang w:val="ru-RU"/>
        </w:rPr>
        <w:t>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является </w:t>
      </w:r>
      <w:r w:rsidRPr="00B63AD6">
        <w:rPr>
          <w:rFonts w:ascii="Times New Roman" w:hAnsi="Times New Roman" w:cs="Times New Roman"/>
          <w:sz w:val="24"/>
          <w:szCs w:val="24"/>
        </w:rPr>
        <w:t>определить закономерности развития и факторы успеха стартапов, прошедших акселерацию, и оценить их устойчивость на основе открытых данных.</w:t>
      </w:r>
    </w:p>
    <w:p w14:paraId="00000003" w14:textId="24EEAD45" w:rsidR="000C5FAA" w:rsidRPr="00B63AD6" w:rsidRDefault="00F423F7" w:rsidP="00432C4B">
      <w:pPr>
        <w:spacing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23F7">
        <w:rPr>
          <w:rFonts w:ascii="Times New Roman" w:hAnsi="Times New Roman" w:cs="Times New Roman"/>
          <w:bCs/>
          <w:sz w:val="24"/>
          <w:szCs w:val="24"/>
          <w:lang w:val="ru-RU"/>
        </w:rPr>
        <w:t>База исследования состоит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данны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 xml:space="preserve"> развития интернет-инициатив (ФРИИ), сведения ЕГРЮЛ, позволяющие определить статус и направления деятельности компаний, и система Spark, дающая актуальную информацию о финансовых и регистрационных изменениях стартапов (отчетность, участие в госзакупках, судебные разбирательства). Такой комплексный подход обеспечивает высокую надежность и репрезентативность.</w:t>
      </w:r>
    </w:p>
    <w:p w14:paraId="1F723F51" w14:textId="02012A49" w:rsidR="00432C4B" w:rsidRPr="00432C4B" w:rsidRDefault="00432C4B" w:rsidP="00432C4B">
      <w:pPr>
        <w:spacing w:before="240" w:after="24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0" w:name="_2p1hsqzd4lny" w:colFirst="0" w:colLast="0"/>
      <w:bookmarkEnd w:id="0"/>
      <w:r w:rsidRPr="00432C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качестве ключевых результатов необходимо выделить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14:paraId="30CE69DA" w14:textId="734D76A8" w:rsidR="00432C4B" w:rsidRPr="00CE010C" w:rsidRDefault="00432C4B" w:rsidP="00432C4B">
      <w:pPr>
        <w:spacing w:before="240"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Положительная</w:t>
      </w:r>
      <w:r w:rsidRPr="00B63AD6">
        <w:rPr>
          <w:rFonts w:ascii="Times New Roman" w:hAnsi="Times New Roman" w:cs="Times New Roman"/>
          <w:sz w:val="24"/>
          <w:szCs w:val="24"/>
        </w:rPr>
        <w:t xml:space="preserve"> корреляция (0.55) между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FailureScore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FiasRegion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», указывающая на повышенный риск в отдельных регионах. Развитая акселерационная инфраструктура (инкубаторы, технопарки) снижает этот риск. При размещении цифровых компаний важно учитывать как экономические условия региона, так и развитость акселерационных площадок.</w:t>
      </w:r>
      <w:r w:rsidRPr="00B63A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D652647" w14:textId="29BC1DC2" w:rsidR="00AC7E22" w:rsidRPr="00AC7E22" w:rsidRDefault="00000000" w:rsidP="00432C4B">
      <w:pPr>
        <w:spacing w:before="240"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AD6">
        <w:rPr>
          <w:rFonts w:ascii="Times New Roman" w:hAnsi="Times New Roman" w:cs="Times New Roman"/>
          <w:sz w:val="24"/>
          <w:szCs w:val="24"/>
        </w:rPr>
        <w:t>Отрицательная корреляция (–0.47) между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CompanySize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.@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IndexOfDueDiligence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.@Index» говорит о том, что рост выручки при эффективной акселерационной поддержке повышает финансовую прозрачность и снижает индекс рисков. Привлечение внешней экспертизы и участие в программах акселерации повышают доверие инвесторов.</w:t>
      </w:r>
    </w:p>
    <w:p w14:paraId="47F74B21" w14:textId="77777777" w:rsidR="00432C4B" w:rsidRPr="00432C4B" w:rsidRDefault="00000000" w:rsidP="00432C4B">
      <w:pPr>
        <w:spacing w:before="240"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AD6">
        <w:rPr>
          <w:rFonts w:ascii="Times New Roman" w:hAnsi="Times New Roman" w:cs="Times New Roman"/>
          <w:sz w:val="24"/>
          <w:szCs w:val="24"/>
        </w:rPr>
        <w:t>Отрицательная корреляция (–0.45) между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FailureScore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 и числом менеджеров с пересечениями в других компаниях (ИНН) указывает на важность развитой управленческой структуры. Акселераторы помогают сформировать расширенные команды, обеспечивая доступ к экспертам и наставникам, что снижает риски.</w:t>
      </w:r>
    </w:p>
    <w:p w14:paraId="5D15C8EC" w14:textId="77777777" w:rsidR="00432C4B" w:rsidRPr="00CE010C" w:rsidRDefault="00000000" w:rsidP="00432C4B">
      <w:pPr>
        <w:spacing w:before="240" w:after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AD6">
        <w:rPr>
          <w:rFonts w:ascii="Times New Roman" w:hAnsi="Times New Roman" w:cs="Times New Roman"/>
          <w:sz w:val="24"/>
          <w:szCs w:val="24"/>
        </w:rPr>
        <w:lastRenderedPageBreak/>
        <w:t>Положительная корреляция (0.61) между числом аффилированных структур (Росстат, ЕГРЮЛ) и количеством судебных разбирательств объясняется усложнением корпоративной структуры при расширении сети партнёров и инвесторов. Грамотная юридическая поддержка в акселераторах помогает снизить правовые риски.</w:t>
      </w:r>
    </w:p>
    <w:p w14:paraId="334B0EFE" w14:textId="77777777" w:rsidR="00432C4B" w:rsidRPr="00CE010C" w:rsidRDefault="00000000" w:rsidP="00432C4B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63AD6">
        <w:rPr>
          <w:rFonts w:ascii="Times New Roman" w:hAnsi="Times New Roman" w:cs="Times New Roman"/>
          <w:sz w:val="24"/>
          <w:szCs w:val="24"/>
        </w:rPr>
        <w:t>Положительная корреляция (0.49) между количеством совладельцев (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CountCoownerRosstat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) и коэффициентом текущей ликвидности (КТЛ) говорит об укреплении финансовой устойчивости компаний с более распределённой структурой владения, что облегчает привлечение инвестиций.</w:t>
      </w:r>
    </w:p>
    <w:p w14:paraId="28B64AC4" w14:textId="77777777" w:rsidR="00432C4B" w:rsidRPr="00CE010C" w:rsidRDefault="00000000" w:rsidP="00432C4B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AD6">
        <w:rPr>
          <w:rFonts w:ascii="Times New Roman" w:hAnsi="Times New Roman" w:cs="Times New Roman"/>
          <w:sz w:val="24"/>
          <w:szCs w:val="24"/>
        </w:rPr>
        <w:t>Отрицательная корреляция (–0.28) между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FailureScore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 и регистрацией в городской черте («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FiasCity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») свидетельствует о снижении рисков при локализации в городах с развитой инфраструктурой. Положительная корреляция (0.38) между расположением вне крупных городских центров («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FiasPlace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») и судебными спорами указывает на более высокие юридические риски в отдалённых регионах. Удалённые форматы акселерации могут снизить эти риски.</w:t>
      </w:r>
    </w:p>
    <w:p w14:paraId="2BC0C464" w14:textId="77777777" w:rsidR="00432C4B" w:rsidRDefault="00000000" w:rsidP="00432C4B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3AD6">
        <w:rPr>
          <w:rFonts w:ascii="Times New Roman" w:hAnsi="Times New Roman" w:cs="Times New Roman"/>
          <w:sz w:val="24"/>
          <w:szCs w:val="24"/>
        </w:rPr>
        <w:t>Умеренная положительная корреляция (0.22) между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FailureScore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IndexOfDueDiligence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>» подчеркивает связь уровня риска и прозрачности компании. Акселерационные программы снижают оба показателя, помогая оптимизировать бизнес-процессы, укреплять управленческую команду и повышать устойчивость.</w:t>
      </w:r>
      <w:bookmarkStart w:id="1" w:name="_ad4jzdytr22w" w:colFirst="0" w:colLast="0"/>
      <w:bookmarkEnd w:id="1"/>
    </w:p>
    <w:p w14:paraId="11EB6403" w14:textId="0E689492" w:rsidR="005078A0" w:rsidRDefault="00432C4B" w:rsidP="00432C4B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2C4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Практическое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применение результатов позволит сформировать системный подход </w:t>
      </w:r>
      <w:r w:rsidRPr="00912942">
        <w:rPr>
          <w:rFonts w:ascii="Times New Roman" w:hAnsi="Times New Roman" w:cs="Times New Roman"/>
          <w:color w:val="000000" w:themeColor="text1"/>
          <w:sz w:val="24"/>
          <w:szCs w:val="24"/>
        </w:rPr>
        <w:t>к аналитике в акселерационных программах, подразумевающий регулярный мониторинг и долгосрочное наблюдение за стартапами. Это позволит формировать ключевые показатели эффективности, отражающие не только объём инвестиций, но и прозрачность бизнеса, динамику финансов. Акселераторам следует внедрять процедуры соответствия требованиям госзакупок, чтобы сократить барьеры для стартапов и повысить их конкурентоспособность. Важен и долгосрочный мониторинг результатов: анализ позволит совершенствовать методологию отбора и поддержки перспективных проектов.</w:t>
      </w:r>
    </w:p>
    <w:p w14:paraId="0000000F" w14:textId="65E928CF" w:rsidR="000C5FAA" w:rsidRPr="00432C4B" w:rsidRDefault="005078A0" w:rsidP="00432C4B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основании исследования разработан ряд рекомендаций, что позволит преодолеть «Долину смерти». </w:t>
      </w:r>
      <w:r w:rsidRPr="00912942">
        <w:rPr>
          <w:rFonts w:ascii="Times New Roman" w:hAnsi="Times New Roman" w:cs="Times New Roman"/>
          <w:color w:val="000000" w:themeColor="text1"/>
          <w:sz w:val="24"/>
          <w:szCs w:val="24"/>
        </w:rPr>
        <w:t>Успех стартапов после акселерации зависит от комплексного и регулярного анализа юридических, финансовых и операционных показателей. Акселераторы должны внедрять аналитические инструменты, позволяющие отслеживать и прогнозировать развитие бизнеса, уделяя особое внимание повышению прозрачности компаний. Следует стимулировать открытость в отчётности, обучать финансовому менеджменту и привлечению инвестиций, а также учитывать специфику стартапов (отрасль, стадия развития, уровень прозрачности) при формировании треков поддержки. Индивидуализированные модули и экспертиза способствуют эффективному развитию и устойчивости стартапов.</w:t>
      </w:r>
    </w:p>
    <w:p w14:paraId="00000010" w14:textId="77777777" w:rsidR="000C5FAA" w:rsidRPr="00B63AD6" w:rsidRDefault="00000000" w:rsidP="00AC7E22">
      <w:pPr>
        <w:pStyle w:val="3"/>
        <w:keepNext w:val="0"/>
        <w:keepLines w:val="0"/>
        <w:spacing w:before="28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ipy278opq274" w:colFirst="0" w:colLast="0"/>
      <w:bookmarkEnd w:id="2"/>
      <w:r w:rsidRPr="00B63AD6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0000011" w14:textId="77777777" w:rsidR="000C5FAA" w:rsidRPr="00B63AD6" w:rsidRDefault="00000000" w:rsidP="00AC7E22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63AD6">
        <w:rPr>
          <w:rFonts w:ascii="Times New Roman" w:hAnsi="Times New Roman" w:cs="Times New Roman"/>
          <w:sz w:val="24"/>
          <w:szCs w:val="24"/>
        </w:rPr>
        <w:t xml:space="preserve">Абрамов В. И., Лаврентьев И. А., 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Гремпель</w:t>
      </w:r>
      <w:proofErr w:type="spellEnd"/>
      <w:r w:rsidRPr="00B63AD6">
        <w:rPr>
          <w:rFonts w:ascii="Times New Roman" w:hAnsi="Times New Roman" w:cs="Times New Roman"/>
          <w:sz w:val="24"/>
          <w:szCs w:val="24"/>
        </w:rPr>
        <w:t xml:space="preserve"> В. О. Роль инноваций и стартапов в развитии экосистем // Экономические науки. – 2022. – № 210. – С. 97–100.</w:t>
      </w:r>
    </w:p>
    <w:p w14:paraId="00000012" w14:textId="77777777" w:rsidR="000C5FAA" w:rsidRPr="00B63AD6" w:rsidRDefault="00000000" w:rsidP="00AC7E2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AD6">
        <w:rPr>
          <w:rFonts w:ascii="Times New Roman" w:hAnsi="Times New Roman" w:cs="Times New Roman"/>
          <w:sz w:val="24"/>
          <w:szCs w:val="24"/>
          <w:lang w:val="en-US"/>
        </w:rPr>
        <w:t>Aldianto</w:t>
      </w:r>
      <w:proofErr w:type="spellEnd"/>
      <w:r w:rsidRPr="00B63AD6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r w:rsidRPr="00B63AD6">
        <w:rPr>
          <w:rFonts w:ascii="Times New Roman" w:hAnsi="Times New Roman" w:cs="Times New Roman"/>
          <w:sz w:val="24"/>
          <w:szCs w:val="24"/>
        </w:rPr>
        <w:t>и</w:t>
      </w:r>
      <w:r w:rsidRPr="00B63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D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63AD6">
        <w:rPr>
          <w:rFonts w:ascii="Times New Roman" w:hAnsi="Times New Roman" w:cs="Times New Roman"/>
          <w:sz w:val="24"/>
          <w:szCs w:val="24"/>
          <w:lang w:val="en-US"/>
        </w:rPr>
        <w:t>. Toward a Business Resilience Framework for Startups // Sustainability. – 2021. – 13, 3132.</w:t>
      </w:r>
    </w:p>
    <w:p w14:paraId="00000015" w14:textId="6EC43274" w:rsidR="000C5FAA" w:rsidRPr="00AC7E22" w:rsidRDefault="00000000" w:rsidP="00AC7E2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3AD6">
        <w:rPr>
          <w:rFonts w:ascii="Times New Roman" w:hAnsi="Times New Roman" w:cs="Times New Roman"/>
          <w:sz w:val="24"/>
          <w:szCs w:val="24"/>
          <w:lang w:val="en-US"/>
        </w:rPr>
        <w:t xml:space="preserve">Harvard Business Review (HBR). HBR’s 10 Must Reads on Organizational Resilience. – </w:t>
      </w:r>
      <w:r w:rsidRPr="00B63AD6">
        <w:rPr>
          <w:rFonts w:ascii="Times New Roman" w:hAnsi="Times New Roman" w:cs="Times New Roman"/>
          <w:sz w:val="24"/>
          <w:szCs w:val="24"/>
        </w:rPr>
        <w:t>М</w:t>
      </w:r>
      <w:r w:rsidRPr="00B63AD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B63AD6">
        <w:rPr>
          <w:rFonts w:ascii="Times New Roman" w:hAnsi="Times New Roman" w:cs="Times New Roman"/>
          <w:sz w:val="24"/>
          <w:szCs w:val="24"/>
        </w:rPr>
        <w:t>Альпина</w:t>
      </w:r>
      <w:r w:rsidRPr="00B63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AD6">
        <w:rPr>
          <w:rFonts w:ascii="Times New Roman" w:hAnsi="Times New Roman" w:cs="Times New Roman"/>
          <w:sz w:val="24"/>
          <w:szCs w:val="24"/>
        </w:rPr>
        <w:t>Паблишер</w:t>
      </w:r>
      <w:r w:rsidRPr="00B63AD6">
        <w:rPr>
          <w:rFonts w:ascii="Times New Roman" w:hAnsi="Times New Roman" w:cs="Times New Roman"/>
          <w:sz w:val="24"/>
          <w:szCs w:val="24"/>
          <w:lang w:val="en-US"/>
        </w:rPr>
        <w:t>, 2022. – 248 </w:t>
      </w:r>
      <w:r w:rsidRPr="00B63AD6">
        <w:rPr>
          <w:rFonts w:ascii="Times New Roman" w:hAnsi="Times New Roman" w:cs="Times New Roman"/>
          <w:sz w:val="24"/>
          <w:szCs w:val="24"/>
        </w:rPr>
        <w:t>с</w:t>
      </w:r>
      <w:r w:rsidRPr="00B63A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C5FAA" w:rsidRPr="00AC7E22" w:rsidSect="00B63AD6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54173" w14:textId="77777777" w:rsidR="00AB772A" w:rsidRDefault="00AB772A" w:rsidP="00CE010C">
      <w:pPr>
        <w:spacing w:line="240" w:lineRule="auto"/>
      </w:pPr>
      <w:r>
        <w:separator/>
      </w:r>
    </w:p>
  </w:endnote>
  <w:endnote w:type="continuationSeparator" w:id="0">
    <w:p w14:paraId="3D310C1A" w14:textId="77777777" w:rsidR="00AB772A" w:rsidRDefault="00AB772A" w:rsidP="00CE0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5D1B" w14:textId="77777777" w:rsidR="00AB772A" w:rsidRDefault="00AB772A" w:rsidP="00CE010C">
      <w:pPr>
        <w:spacing w:line="240" w:lineRule="auto"/>
      </w:pPr>
      <w:r>
        <w:separator/>
      </w:r>
    </w:p>
  </w:footnote>
  <w:footnote w:type="continuationSeparator" w:id="0">
    <w:p w14:paraId="4B2D4B86" w14:textId="77777777" w:rsidR="00AB772A" w:rsidRDefault="00AB772A" w:rsidP="00CE0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710FB"/>
    <w:multiLevelType w:val="multilevel"/>
    <w:tmpl w:val="5D981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9067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A"/>
    <w:rsid w:val="000C5FAA"/>
    <w:rsid w:val="00336D14"/>
    <w:rsid w:val="00423C3F"/>
    <w:rsid w:val="00432C4B"/>
    <w:rsid w:val="00440D8F"/>
    <w:rsid w:val="004646D5"/>
    <w:rsid w:val="005078A0"/>
    <w:rsid w:val="005D5B13"/>
    <w:rsid w:val="00630286"/>
    <w:rsid w:val="008370A0"/>
    <w:rsid w:val="00891E35"/>
    <w:rsid w:val="00912942"/>
    <w:rsid w:val="00AB772A"/>
    <w:rsid w:val="00AC7E22"/>
    <w:rsid w:val="00B63AD6"/>
    <w:rsid w:val="00CE010C"/>
    <w:rsid w:val="00F30AD0"/>
    <w:rsid w:val="00F35BAA"/>
    <w:rsid w:val="00F4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1FC8A"/>
  <w15:docId w15:val="{5D979F0C-EC5B-459E-B699-4BF8A26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E010C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E010C"/>
    <w:rPr>
      <w:rFonts w:cs="Mangal"/>
      <w:szCs w:val="20"/>
    </w:rPr>
  </w:style>
  <w:style w:type="paragraph" w:styleId="a7">
    <w:name w:val="footer"/>
    <w:basedOn w:val="a"/>
    <w:link w:val="a8"/>
    <w:uiPriority w:val="99"/>
    <w:unhideWhenUsed/>
    <w:rsid w:val="00CE010C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E010C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0DD6-C220-4E29-B700-954D2CAD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5111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Kovalevskiy</dc:creator>
  <cp:lastModifiedBy>Vladislav Kovalevskiy</cp:lastModifiedBy>
  <cp:revision>4</cp:revision>
  <dcterms:created xsi:type="dcterms:W3CDTF">2025-03-09T18:29:00Z</dcterms:created>
  <dcterms:modified xsi:type="dcterms:W3CDTF">2025-03-09T18:33:00Z</dcterms:modified>
</cp:coreProperties>
</file>