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43FD4" w14:textId="77777777" w:rsidR="00E67EDA" w:rsidRDefault="00E67EDA" w:rsidP="00E67EDA">
      <w:pPr>
        <w:spacing w:line="240" w:lineRule="auto"/>
        <w:jc w:val="center"/>
        <w:rPr>
          <w:rFonts w:ascii="Times New Roman" w:hAnsi="Times New Roman"/>
          <w:b/>
          <w:bCs/>
          <w:sz w:val="24"/>
          <w:szCs w:val="24"/>
          <w:lang w:val="en-US"/>
        </w:rPr>
      </w:pPr>
      <w:bookmarkStart w:id="0" w:name="_GoBack"/>
      <w:r>
        <w:rPr>
          <w:rFonts w:ascii="Times New Roman" w:hAnsi="Times New Roman"/>
          <w:b/>
          <w:bCs/>
          <w:sz w:val="24"/>
          <w:szCs w:val="24"/>
          <w:lang w:val="en-US"/>
        </w:rPr>
        <w:t xml:space="preserve">PHOTOMETRIC VARIABILITY OF THE SEYFERT GALAXY NGC 4151 </w:t>
      </w:r>
    </w:p>
    <w:p w14:paraId="5C8175DD" w14:textId="77777777" w:rsidR="00E67EDA" w:rsidRDefault="00E67EDA" w:rsidP="00E67EDA">
      <w:pPr>
        <w:spacing w:line="240" w:lineRule="auto"/>
        <w:jc w:val="center"/>
        <w:rPr>
          <w:rFonts w:ascii="Times New Roman" w:hAnsi="Times New Roman"/>
          <w:b/>
          <w:bCs/>
          <w:sz w:val="24"/>
          <w:szCs w:val="24"/>
          <w:lang w:val="en-US"/>
        </w:rPr>
      </w:pPr>
      <w:r>
        <w:rPr>
          <w:rFonts w:ascii="Times New Roman" w:hAnsi="Times New Roman"/>
          <w:b/>
          <w:bCs/>
          <w:sz w:val="24"/>
          <w:szCs w:val="24"/>
          <w:lang w:val="en-US"/>
        </w:rPr>
        <w:t>IN 2016-2023 YEARS</w:t>
      </w:r>
    </w:p>
    <w:p w14:paraId="6D9394EC" w14:textId="77777777" w:rsidR="00E67EDA" w:rsidRDefault="00E67EDA" w:rsidP="00E67EDA">
      <w:pPr>
        <w:spacing w:line="240" w:lineRule="auto"/>
        <w:jc w:val="center"/>
        <w:rPr>
          <w:rFonts w:ascii="Times New Roman" w:hAnsi="Times New Roman"/>
          <w:b/>
          <w:bCs/>
          <w:i/>
          <w:iCs/>
          <w:sz w:val="24"/>
          <w:szCs w:val="24"/>
          <w:lang w:val="en-US"/>
        </w:rPr>
      </w:pPr>
      <w:proofErr w:type="spellStart"/>
      <w:r>
        <w:rPr>
          <w:rFonts w:ascii="Times New Roman" w:hAnsi="Times New Roman"/>
          <w:b/>
          <w:bCs/>
          <w:i/>
          <w:iCs/>
          <w:sz w:val="24"/>
          <w:szCs w:val="24"/>
          <w:lang w:val="en-US"/>
        </w:rPr>
        <w:t>Rahimli</w:t>
      </w:r>
      <w:proofErr w:type="spellEnd"/>
      <w:r>
        <w:rPr>
          <w:rFonts w:ascii="Times New Roman" w:hAnsi="Times New Roman"/>
          <w:b/>
          <w:bCs/>
          <w:i/>
          <w:iCs/>
          <w:sz w:val="24"/>
          <w:szCs w:val="24"/>
          <w:lang w:val="en-US"/>
        </w:rPr>
        <w:t xml:space="preserve"> S.R., Huseynov N.A</w:t>
      </w:r>
    </w:p>
    <w:p w14:paraId="51C50251" w14:textId="77777777" w:rsidR="00E67EDA" w:rsidRDefault="00E67EDA" w:rsidP="00E67EDA">
      <w:pPr>
        <w:spacing w:line="240" w:lineRule="auto"/>
        <w:jc w:val="center"/>
        <w:rPr>
          <w:rFonts w:ascii="Times New Roman" w:hAnsi="Times New Roman"/>
          <w:bCs/>
          <w:i/>
          <w:iCs/>
          <w:sz w:val="24"/>
          <w:szCs w:val="24"/>
          <w:lang w:val="en-US"/>
        </w:rPr>
      </w:pPr>
      <w:r>
        <w:rPr>
          <w:rFonts w:ascii="Times New Roman" w:hAnsi="Times New Roman"/>
          <w:bCs/>
          <w:i/>
          <w:iCs/>
          <w:sz w:val="24"/>
          <w:szCs w:val="24"/>
          <w:lang w:val="en-US"/>
        </w:rPr>
        <w:t>Junior researcher and PhD student, PhD</w:t>
      </w:r>
    </w:p>
    <w:p w14:paraId="0DF6BC83" w14:textId="77777777" w:rsidR="00E67EDA" w:rsidRDefault="00E67EDA" w:rsidP="00E67EDA">
      <w:pPr>
        <w:spacing w:line="240" w:lineRule="auto"/>
        <w:jc w:val="center"/>
        <w:rPr>
          <w:rFonts w:ascii="Times New Roman" w:hAnsi="Times New Roman"/>
          <w:i/>
          <w:iCs/>
          <w:sz w:val="24"/>
          <w:szCs w:val="24"/>
          <w:lang w:val="en-US"/>
        </w:rPr>
      </w:pPr>
      <w:proofErr w:type="spellStart"/>
      <w:r>
        <w:rPr>
          <w:rFonts w:ascii="Times New Roman" w:hAnsi="Times New Roman"/>
          <w:i/>
          <w:iCs/>
          <w:sz w:val="24"/>
          <w:szCs w:val="24"/>
          <w:lang w:val="en-US"/>
        </w:rPr>
        <w:t>Shamakhy</w:t>
      </w:r>
      <w:proofErr w:type="spellEnd"/>
      <w:r>
        <w:rPr>
          <w:rFonts w:ascii="Times New Roman" w:hAnsi="Times New Roman"/>
          <w:i/>
          <w:iCs/>
          <w:sz w:val="24"/>
          <w:szCs w:val="24"/>
          <w:lang w:val="en-US"/>
        </w:rPr>
        <w:t xml:space="preserve"> Astrophysical Observatory named after </w:t>
      </w:r>
      <w:proofErr w:type="spellStart"/>
      <w:proofErr w:type="gramStart"/>
      <w:r>
        <w:rPr>
          <w:rFonts w:ascii="Times New Roman" w:hAnsi="Times New Roman"/>
          <w:i/>
          <w:iCs/>
          <w:sz w:val="24"/>
          <w:szCs w:val="24"/>
          <w:lang w:val="en-US"/>
        </w:rPr>
        <w:t>N.Tusi</w:t>
      </w:r>
      <w:proofErr w:type="spellEnd"/>
      <w:proofErr w:type="gramEnd"/>
      <w:r>
        <w:rPr>
          <w:rFonts w:ascii="Times New Roman" w:hAnsi="Times New Roman"/>
          <w:i/>
          <w:iCs/>
          <w:sz w:val="24"/>
          <w:szCs w:val="24"/>
          <w:lang w:val="en-US"/>
        </w:rPr>
        <w:t>, Ministry of Science and Education of the Republic of Azerbaijan</w:t>
      </w:r>
    </w:p>
    <w:p w14:paraId="4DAAB452" w14:textId="77777777" w:rsidR="00E67EDA" w:rsidRDefault="00A047DB" w:rsidP="00E67EDA">
      <w:pPr>
        <w:spacing w:line="240" w:lineRule="auto"/>
        <w:jc w:val="center"/>
        <w:rPr>
          <w:rFonts w:ascii="Times New Roman" w:hAnsi="Times New Roman"/>
          <w:i/>
          <w:iCs/>
          <w:sz w:val="24"/>
          <w:szCs w:val="24"/>
          <w:lang w:val="en-US"/>
        </w:rPr>
      </w:pPr>
      <w:r>
        <w:fldChar w:fldCharType="begin"/>
      </w:r>
      <w:r w:rsidRPr="00A047DB">
        <w:rPr>
          <w:lang w:val="en-US"/>
        </w:rPr>
        <w:instrText xml:space="preserve"> HYPERLINK "mailto:samira.rahimli.97@gmail.com" </w:instrText>
      </w:r>
      <w:r>
        <w:fldChar w:fldCharType="separate"/>
      </w:r>
      <w:r w:rsidR="00E67EDA">
        <w:rPr>
          <w:rStyle w:val="a3"/>
          <w:rFonts w:ascii="Times New Roman" w:hAnsi="Times New Roman"/>
          <w:i/>
          <w:iCs/>
          <w:sz w:val="24"/>
          <w:szCs w:val="24"/>
          <w:lang w:val="en-US"/>
        </w:rPr>
        <w:t>samira.rahimli.97@gmail.com</w:t>
      </w:r>
      <w:r>
        <w:rPr>
          <w:rStyle w:val="a3"/>
          <w:rFonts w:ascii="Times New Roman" w:hAnsi="Times New Roman"/>
          <w:i/>
          <w:iCs/>
          <w:sz w:val="24"/>
          <w:szCs w:val="24"/>
          <w:lang w:val="en-US"/>
        </w:rPr>
        <w:fldChar w:fldCharType="end"/>
      </w:r>
      <w:r w:rsidR="00E67EDA">
        <w:rPr>
          <w:rFonts w:ascii="Times New Roman" w:hAnsi="Times New Roman"/>
          <w:i/>
          <w:iCs/>
          <w:sz w:val="24"/>
          <w:szCs w:val="24"/>
          <w:lang w:val="en-US"/>
        </w:rPr>
        <w:t xml:space="preserve">, </w:t>
      </w:r>
      <w:r>
        <w:fldChar w:fldCharType="begin"/>
      </w:r>
      <w:r w:rsidRPr="00A047DB">
        <w:rPr>
          <w:lang w:val="en-US"/>
        </w:rPr>
        <w:instrText xml:space="preserve"> HYPERLINK "mailto:qaramamedlinazim@gmail.com" </w:instrText>
      </w:r>
      <w:r>
        <w:fldChar w:fldCharType="separate"/>
      </w:r>
      <w:r w:rsidR="00E67EDA">
        <w:rPr>
          <w:rStyle w:val="a3"/>
          <w:rFonts w:ascii="Times New Roman" w:hAnsi="Times New Roman"/>
          <w:i/>
          <w:iCs/>
          <w:sz w:val="24"/>
          <w:szCs w:val="24"/>
          <w:lang w:val="en-US"/>
        </w:rPr>
        <w:t>qaramamedlinazim@gmail.com</w:t>
      </w:r>
      <w:r>
        <w:rPr>
          <w:rStyle w:val="a3"/>
          <w:rFonts w:ascii="Times New Roman" w:hAnsi="Times New Roman"/>
          <w:i/>
          <w:iCs/>
          <w:sz w:val="24"/>
          <w:szCs w:val="24"/>
          <w:lang w:val="en-US"/>
        </w:rPr>
        <w:fldChar w:fldCharType="end"/>
      </w:r>
    </w:p>
    <w:p w14:paraId="28D4999D" w14:textId="77777777" w:rsidR="00E67EDA" w:rsidRDefault="00E67EDA" w:rsidP="00E67EDA">
      <w:pPr>
        <w:spacing w:line="240" w:lineRule="auto"/>
        <w:ind w:firstLine="708"/>
        <w:jc w:val="both"/>
        <w:rPr>
          <w:rFonts w:ascii="Times New Roman" w:hAnsi="Times New Roman"/>
          <w:i/>
          <w:iCs/>
          <w:sz w:val="24"/>
          <w:szCs w:val="24"/>
          <w:lang w:val="en-US"/>
        </w:rPr>
      </w:pPr>
      <w:proofErr w:type="spellStart"/>
      <w:r>
        <w:rPr>
          <w:rFonts w:ascii="Times New Roman" w:hAnsi="Times New Roman"/>
          <w:sz w:val="24"/>
          <w:szCs w:val="24"/>
          <w:shd w:val="clear" w:color="auto" w:fill="FFFFFF"/>
          <w:lang w:val="en-US"/>
        </w:rPr>
        <w:t>Seyfert</w:t>
      </w:r>
      <w:proofErr w:type="spellEnd"/>
      <w:r>
        <w:rPr>
          <w:rFonts w:ascii="Times New Roman" w:hAnsi="Times New Roman"/>
          <w:sz w:val="24"/>
          <w:szCs w:val="24"/>
          <w:shd w:val="clear" w:color="auto" w:fill="FFFFFF"/>
          <w:lang w:val="en-US"/>
        </w:rPr>
        <w:t xml:space="preserve"> galaxy is a spiral galaxy with an active nucleus whose spectrum exhibits bright emission lines. The most probable hypothesis explaining the activity of the nuclei interprets it as a result of the accretion of matter onto the supermassive central body. </w:t>
      </w:r>
      <w:proofErr w:type="spellStart"/>
      <w:r>
        <w:rPr>
          <w:rFonts w:ascii="Times New Roman" w:hAnsi="Times New Roman"/>
          <w:sz w:val="24"/>
          <w:szCs w:val="24"/>
          <w:shd w:val="clear" w:color="auto" w:fill="FFFFFF"/>
          <w:lang w:val="en-US"/>
        </w:rPr>
        <w:t>Seyfert</w:t>
      </w:r>
      <w:proofErr w:type="spellEnd"/>
      <w:r>
        <w:rPr>
          <w:rFonts w:ascii="Times New Roman" w:hAnsi="Times New Roman"/>
          <w:sz w:val="24"/>
          <w:szCs w:val="24"/>
          <w:shd w:val="clear" w:color="auto" w:fill="FFFFFF"/>
          <w:lang w:val="en-US"/>
        </w:rPr>
        <w:t xml:space="preserve"> galaxies account for ~1% of all observed spiral galaxies. </w:t>
      </w:r>
    </w:p>
    <w:p w14:paraId="7F15DE1E" w14:textId="77777777" w:rsidR="00E67EDA" w:rsidRDefault="00E67EDA" w:rsidP="00E67EDA">
      <w:pPr>
        <w:spacing w:line="240" w:lineRule="auto"/>
        <w:ind w:firstLine="708"/>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The </w:t>
      </w:r>
      <w:proofErr w:type="spellStart"/>
      <w:r>
        <w:rPr>
          <w:rFonts w:ascii="Times New Roman" w:hAnsi="Times New Roman"/>
          <w:sz w:val="24"/>
          <w:szCs w:val="24"/>
          <w:shd w:val="clear" w:color="auto" w:fill="FFFFFF"/>
          <w:lang w:val="en-US"/>
        </w:rPr>
        <w:t>Seyfert</w:t>
      </w:r>
      <w:proofErr w:type="spellEnd"/>
      <w:r>
        <w:rPr>
          <w:rFonts w:ascii="Times New Roman" w:hAnsi="Times New Roman"/>
          <w:sz w:val="24"/>
          <w:szCs w:val="24"/>
          <w:shd w:val="clear" w:color="auto" w:fill="FFFFFF"/>
          <w:lang w:val="en-US"/>
        </w:rPr>
        <w:t xml:space="preserve"> galaxy NGC 4151 with the coordinates α=12h10m32s δ=+39</w:t>
      </w:r>
      <w:r>
        <w:rPr>
          <w:rFonts w:ascii="Times New Roman" w:hAnsi="Times New Roman"/>
          <w:sz w:val="24"/>
          <w:szCs w:val="24"/>
          <w:shd w:val="clear" w:color="auto" w:fill="FFFFFF"/>
          <w:vertAlign w:val="superscript"/>
          <w:lang w:val="en-US"/>
        </w:rPr>
        <w:t>◦</w:t>
      </w:r>
      <w:r>
        <w:rPr>
          <w:rFonts w:ascii="Times New Roman" w:hAnsi="Times New Roman"/>
          <w:sz w:val="24"/>
          <w:szCs w:val="24"/>
          <w:shd w:val="clear" w:color="auto" w:fill="FFFFFF"/>
          <w:lang w:val="en-US"/>
        </w:rPr>
        <w:t xml:space="preserve">24′24′′ was discovered by William Herschel in 1787. It is located in the direction of Canes </w:t>
      </w:r>
      <w:proofErr w:type="spellStart"/>
      <w:r>
        <w:rPr>
          <w:rFonts w:ascii="Times New Roman" w:hAnsi="Times New Roman"/>
          <w:sz w:val="24"/>
          <w:szCs w:val="24"/>
          <w:shd w:val="clear" w:color="auto" w:fill="FFFFFF"/>
          <w:lang w:val="en-US"/>
        </w:rPr>
        <w:t>Venatici</w:t>
      </w:r>
      <w:proofErr w:type="spellEnd"/>
      <w:r>
        <w:rPr>
          <w:rFonts w:ascii="Times New Roman" w:hAnsi="Times New Roman"/>
          <w:sz w:val="24"/>
          <w:szCs w:val="24"/>
          <w:shd w:val="clear" w:color="auto" w:fill="FFFFFF"/>
          <w:lang w:val="en-US"/>
        </w:rPr>
        <w:t xml:space="preserve"> at a distance of 43 million light-years with a redshift of z= 0,0032. This galaxy is considered as one of the </w:t>
      </w:r>
      <w:proofErr w:type="spellStart"/>
      <w:r>
        <w:rPr>
          <w:rFonts w:ascii="Times New Roman" w:hAnsi="Times New Roman"/>
          <w:sz w:val="24"/>
          <w:szCs w:val="24"/>
          <w:shd w:val="clear" w:color="auto" w:fill="FFFFFF"/>
          <w:lang w:val="en-US"/>
        </w:rPr>
        <w:t>Seyfert</w:t>
      </w:r>
      <w:proofErr w:type="spellEnd"/>
      <w:r>
        <w:rPr>
          <w:rFonts w:ascii="Times New Roman" w:hAnsi="Times New Roman"/>
          <w:sz w:val="24"/>
          <w:szCs w:val="24"/>
          <w:shd w:val="clear" w:color="auto" w:fill="FFFFFF"/>
          <w:lang w:val="en-US"/>
        </w:rPr>
        <w:t xml:space="preserve"> galaxies closest to the Milky Way. Photometric observations of NGC 4151 began in 1906. The variability of its nucleus in the optical range was discovered in 1967 [Fitch et al. 1967] and was confirmed in 1969 by astronomers of the Sternberg Astronomical Institute [</w:t>
      </w:r>
      <w:proofErr w:type="spellStart"/>
      <w:r>
        <w:rPr>
          <w:rFonts w:ascii="Times New Roman" w:hAnsi="Times New Roman"/>
          <w:sz w:val="24"/>
          <w:szCs w:val="24"/>
          <w:shd w:val="clear" w:color="auto" w:fill="FFFFFF"/>
          <w:lang w:val="en-US"/>
        </w:rPr>
        <w:t>Lyuty</w:t>
      </w:r>
      <w:proofErr w:type="spellEnd"/>
      <w:r>
        <w:rPr>
          <w:rFonts w:ascii="Times New Roman" w:hAnsi="Times New Roman"/>
          <w:sz w:val="24"/>
          <w:szCs w:val="24"/>
          <w:shd w:val="clear" w:color="auto" w:fill="FFFFFF"/>
          <w:lang w:val="en-US"/>
        </w:rPr>
        <w:t xml:space="preserve"> et al. 1989]. Optical observations of NGC 4151 are carried out worldwide [see, e.g., </w:t>
      </w:r>
      <w:proofErr w:type="spellStart"/>
      <w:r>
        <w:rPr>
          <w:rFonts w:ascii="Times New Roman" w:hAnsi="Times New Roman"/>
          <w:sz w:val="24"/>
          <w:szCs w:val="24"/>
          <w:shd w:val="clear" w:color="auto" w:fill="FFFFFF"/>
          <w:lang w:val="en-US"/>
        </w:rPr>
        <w:t>Doroshenko</w:t>
      </w:r>
      <w:proofErr w:type="spellEnd"/>
      <w:r>
        <w:rPr>
          <w:rFonts w:ascii="Times New Roman" w:hAnsi="Times New Roman"/>
          <w:sz w:val="24"/>
          <w:szCs w:val="24"/>
          <w:shd w:val="clear" w:color="auto" w:fill="FFFFFF"/>
          <w:lang w:val="en-US"/>
        </w:rPr>
        <w:t xml:space="preserve"> et al. 2001; Levine &amp; </w:t>
      </w:r>
      <w:proofErr w:type="spellStart"/>
      <w:r>
        <w:rPr>
          <w:rFonts w:ascii="Times New Roman" w:hAnsi="Times New Roman"/>
          <w:sz w:val="24"/>
          <w:szCs w:val="24"/>
          <w:shd w:val="clear" w:color="auto" w:fill="FFFFFF"/>
          <w:lang w:val="en-US"/>
        </w:rPr>
        <w:t>Rumstay</w:t>
      </w:r>
      <w:proofErr w:type="spellEnd"/>
      <w:r>
        <w:rPr>
          <w:rFonts w:ascii="Times New Roman" w:hAnsi="Times New Roman"/>
          <w:sz w:val="24"/>
          <w:szCs w:val="24"/>
          <w:shd w:val="clear" w:color="auto" w:fill="FFFFFF"/>
          <w:lang w:val="en-US"/>
        </w:rPr>
        <w:t xml:space="preserve">, 2001]. The review by </w:t>
      </w:r>
      <w:proofErr w:type="spellStart"/>
      <w:r>
        <w:rPr>
          <w:rFonts w:ascii="Times New Roman" w:hAnsi="Times New Roman"/>
          <w:sz w:val="24"/>
          <w:szCs w:val="24"/>
          <w:shd w:val="clear" w:color="auto" w:fill="FFFFFF"/>
          <w:lang w:val="en-US"/>
        </w:rPr>
        <w:t>Oknyanskij</w:t>
      </w:r>
      <w:proofErr w:type="spellEnd"/>
      <w:r>
        <w:rPr>
          <w:rFonts w:ascii="Times New Roman" w:hAnsi="Times New Roman"/>
          <w:sz w:val="24"/>
          <w:szCs w:val="24"/>
          <w:shd w:val="clear" w:color="auto" w:fill="FFFFFF"/>
          <w:lang w:val="en-US"/>
        </w:rPr>
        <w:t xml:space="preserve"> &amp; </w:t>
      </w:r>
      <w:proofErr w:type="spellStart"/>
      <w:r>
        <w:rPr>
          <w:rFonts w:ascii="Times New Roman" w:hAnsi="Times New Roman"/>
          <w:sz w:val="24"/>
          <w:szCs w:val="24"/>
          <w:shd w:val="clear" w:color="auto" w:fill="FFFFFF"/>
          <w:lang w:val="en-US"/>
        </w:rPr>
        <w:t>Lyuty</w:t>
      </w:r>
      <w:proofErr w:type="spellEnd"/>
      <w:r>
        <w:rPr>
          <w:rFonts w:ascii="Times New Roman" w:hAnsi="Times New Roman"/>
          <w:sz w:val="24"/>
          <w:szCs w:val="24"/>
          <w:shd w:val="clear" w:color="auto" w:fill="FFFFFF"/>
          <w:lang w:val="en-US"/>
        </w:rPr>
        <w:t xml:space="preserve"> (2007) contains photometric data obtained for NGC 4151 over 100 years. Later results were published by </w:t>
      </w:r>
      <w:proofErr w:type="spellStart"/>
      <w:r>
        <w:rPr>
          <w:rFonts w:ascii="Times New Roman" w:hAnsi="Times New Roman"/>
          <w:sz w:val="24"/>
          <w:szCs w:val="24"/>
          <w:shd w:val="clear" w:color="auto" w:fill="FFFFFF"/>
          <w:lang w:val="en-US"/>
        </w:rPr>
        <w:t>Artamonov</w:t>
      </w:r>
      <w:proofErr w:type="spellEnd"/>
      <w:r>
        <w:rPr>
          <w:rFonts w:ascii="Times New Roman" w:hAnsi="Times New Roman"/>
          <w:sz w:val="24"/>
          <w:szCs w:val="24"/>
          <w:shd w:val="clear" w:color="auto" w:fill="FFFFFF"/>
          <w:lang w:val="en-US"/>
        </w:rPr>
        <w:t xml:space="preserve"> et al. (2013), </w:t>
      </w:r>
      <w:proofErr w:type="spellStart"/>
      <w:r>
        <w:rPr>
          <w:rFonts w:ascii="Times New Roman" w:hAnsi="Times New Roman"/>
          <w:sz w:val="24"/>
          <w:szCs w:val="24"/>
          <w:shd w:val="clear" w:color="auto" w:fill="FFFFFF"/>
          <w:lang w:val="en-US"/>
        </w:rPr>
        <w:t>Oknyanskij</w:t>
      </w:r>
      <w:proofErr w:type="spellEnd"/>
      <w:r>
        <w:rPr>
          <w:rFonts w:ascii="Times New Roman" w:hAnsi="Times New Roman"/>
          <w:sz w:val="24"/>
          <w:szCs w:val="24"/>
          <w:shd w:val="clear" w:color="auto" w:fill="FFFFFF"/>
          <w:lang w:val="en-US"/>
        </w:rPr>
        <w:t xml:space="preserve"> et al. (2013). The interest in this object lies in its unpredictability and large amplitude of its variability. The nucleus varies on different time scales, including rapid variations within tens of days, slow variations over several years, and very slow variations over many decades.</w:t>
      </w:r>
    </w:p>
    <w:p w14:paraId="04F72D0C" w14:textId="77777777" w:rsidR="00E67EDA" w:rsidRDefault="00E67EDA" w:rsidP="00E67EDA">
      <w:pPr>
        <w:spacing w:line="240" w:lineRule="auto"/>
        <w:ind w:firstLine="708"/>
        <w:jc w:val="both"/>
        <w:rPr>
          <w:rFonts w:ascii="Times New Roman" w:hAnsi="Times New Roman"/>
          <w:b/>
          <w:bCs/>
          <w:sz w:val="24"/>
          <w:szCs w:val="24"/>
          <w:shd w:val="clear" w:color="auto" w:fill="FFFFFF"/>
          <w:lang w:val="en-US"/>
        </w:rPr>
      </w:pPr>
      <w:r>
        <w:rPr>
          <w:rFonts w:ascii="Times New Roman" w:hAnsi="Times New Roman"/>
          <w:bCs/>
          <w:sz w:val="24"/>
          <w:szCs w:val="24"/>
          <w:shd w:val="clear" w:color="auto" w:fill="FFFFFF"/>
          <w:lang w:val="en-US"/>
        </w:rPr>
        <w:t xml:space="preserve">We carried out </w:t>
      </w:r>
      <w:proofErr w:type="spellStart"/>
      <w:r>
        <w:rPr>
          <w:rFonts w:ascii="Times New Roman" w:hAnsi="Times New Roman"/>
          <w:bCs/>
          <w:sz w:val="24"/>
          <w:szCs w:val="24"/>
          <w:shd w:val="clear" w:color="auto" w:fill="FFFFFF"/>
          <w:lang w:val="en-US"/>
        </w:rPr>
        <w:t>BVRc</w:t>
      </w:r>
      <w:proofErr w:type="spellEnd"/>
      <w:r>
        <w:rPr>
          <w:rFonts w:ascii="Times New Roman" w:hAnsi="Times New Roman"/>
          <w:bCs/>
          <w:sz w:val="24"/>
          <w:szCs w:val="24"/>
          <w:shd w:val="clear" w:color="auto" w:fill="FFFFFF"/>
          <w:lang w:val="en-US"/>
        </w:rPr>
        <w:t xml:space="preserve"> and </w:t>
      </w:r>
      <w:proofErr w:type="spellStart"/>
      <w:r>
        <w:rPr>
          <w:rFonts w:ascii="Times New Roman" w:hAnsi="Times New Roman"/>
          <w:bCs/>
          <w:sz w:val="24"/>
          <w:szCs w:val="24"/>
          <w:shd w:val="clear" w:color="auto" w:fill="FFFFFF"/>
          <w:lang w:val="en-US"/>
        </w:rPr>
        <w:t>Ic</w:t>
      </w:r>
      <w:proofErr w:type="spellEnd"/>
      <w:r>
        <w:rPr>
          <w:rFonts w:ascii="Times New Roman" w:hAnsi="Times New Roman"/>
          <w:bCs/>
          <w:sz w:val="24"/>
          <w:szCs w:val="24"/>
          <w:shd w:val="clear" w:color="auto" w:fill="FFFFFF"/>
          <w:lang w:val="en-US"/>
        </w:rPr>
        <w:t xml:space="preserve"> observations of the </w:t>
      </w:r>
      <w:proofErr w:type="spellStart"/>
      <w:r>
        <w:rPr>
          <w:rFonts w:ascii="Times New Roman" w:hAnsi="Times New Roman"/>
          <w:bCs/>
          <w:sz w:val="24"/>
          <w:szCs w:val="24"/>
          <w:shd w:val="clear" w:color="auto" w:fill="FFFFFF"/>
          <w:lang w:val="en-US"/>
        </w:rPr>
        <w:t>Seyfert</w:t>
      </w:r>
      <w:proofErr w:type="spellEnd"/>
      <w:r>
        <w:rPr>
          <w:rFonts w:ascii="Times New Roman" w:hAnsi="Times New Roman"/>
          <w:bCs/>
          <w:sz w:val="24"/>
          <w:szCs w:val="24"/>
          <w:shd w:val="clear" w:color="auto" w:fill="FFFFFF"/>
          <w:lang w:val="en-US"/>
        </w:rPr>
        <w:t xml:space="preserve"> galaxy NGC 4151 on the 60 cm telescope of the</w:t>
      </w:r>
      <w:r>
        <w:rPr>
          <w:rFonts w:ascii="Times New Roman" w:hAnsi="Times New Roman"/>
          <w:b/>
          <w:bCs/>
          <w:sz w:val="24"/>
          <w:szCs w:val="24"/>
          <w:shd w:val="clear" w:color="auto" w:fill="FFFFFF"/>
          <w:lang w:val="en-US"/>
        </w:rPr>
        <w:t xml:space="preserve"> </w:t>
      </w:r>
      <w:proofErr w:type="spellStart"/>
      <w:r>
        <w:rPr>
          <w:rFonts w:ascii="Times New Roman" w:hAnsi="Times New Roman"/>
          <w:bCs/>
          <w:sz w:val="24"/>
          <w:szCs w:val="24"/>
          <w:shd w:val="clear" w:color="auto" w:fill="FFFFFF"/>
          <w:lang w:val="en-US"/>
        </w:rPr>
        <w:t>ShAO</w:t>
      </w:r>
      <w:proofErr w:type="spellEnd"/>
      <w:r>
        <w:rPr>
          <w:rFonts w:ascii="Times New Roman" w:hAnsi="Times New Roman"/>
          <w:bCs/>
          <w:sz w:val="24"/>
          <w:szCs w:val="24"/>
          <w:shd w:val="clear" w:color="auto" w:fill="FFFFFF"/>
          <w:lang w:val="en-US"/>
        </w:rPr>
        <w:t xml:space="preserve"> named after N. </w:t>
      </w:r>
      <w:proofErr w:type="spellStart"/>
      <w:r>
        <w:rPr>
          <w:rFonts w:ascii="Times New Roman" w:hAnsi="Times New Roman"/>
          <w:bCs/>
          <w:sz w:val="24"/>
          <w:szCs w:val="24"/>
          <w:shd w:val="clear" w:color="auto" w:fill="FFFFFF"/>
          <w:lang w:val="en-US"/>
        </w:rPr>
        <w:t>Tusi</w:t>
      </w:r>
      <w:proofErr w:type="spellEnd"/>
      <w:r>
        <w:rPr>
          <w:rFonts w:ascii="Times New Roman" w:hAnsi="Times New Roman"/>
          <w:bCs/>
          <w:sz w:val="24"/>
          <w:szCs w:val="24"/>
          <w:shd w:val="clear" w:color="auto" w:fill="FFFFFF"/>
          <w:lang w:val="en-US"/>
        </w:rPr>
        <w:t>. This telescope is a unique instrument for the photometric</w:t>
      </w:r>
      <w:r>
        <w:rPr>
          <w:rFonts w:ascii="Times New Roman" w:hAnsi="Times New Roman"/>
          <w:b/>
          <w:bCs/>
          <w:sz w:val="24"/>
          <w:szCs w:val="24"/>
          <w:shd w:val="clear" w:color="auto" w:fill="FFFFFF"/>
          <w:lang w:val="en-US"/>
        </w:rPr>
        <w:t xml:space="preserve"> </w:t>
      </w:r>
      <w:r>
        <w:rPr>
          <w:rFonts w:ascii="Times New Roman" w:hAnsi="Times New Roman"/>
          <w:bCs/>
          <w:sz w:val="24"/>
          <w:szCs w:val="24"/>
          <w:shd w:val="clear" w:color="auto" w:fill="FFFFFF"/>
          <w:lang w:val="en-US"/>
        </w:rPr>
        <w:t>observations.</w:t>
      </w:r>
      <w:r>
        <w:rPr>
          <w:rFonts w:ascii="Times New Roman" w:hAnsi="Times New Roman"/>
          <w:b/>
          <w:bCs/>
          <w:sz w:val="24"/>
          <w:szCs w:val="24"/>
          <w:shd w:val="clear" w:color="auto" w:fill="FFFFFF"/>
          <w:lang w:val="en-US"/>
        </w:rPr>
        <w:t xml:space="preserve"> </w:t>
      </w:r>
      <w:r>
        <w:rPr>
          <w:rFonts w:ascii="Times New Roman" w:hAnsi="Times New Roman"/>
          <w:sz w:val="24"/>
          <w:szCs w:val="24"/>
          <w:lang w:val="en-US"/>
        </w:rPr>
        <w:t xml:space="preserve">A photometer equipped with a CCD matrix "Apogee Alta U-47" was installed in the Cassegrain focus of the 60-centimeter telescope of </w:t>
      </w:r>
      <w:proofErr w:type="spellStart"/>
      <w:r>
        <w:rPr>
          <w:rFonts w:ascii="Times New Roman" w:hAnsi="Times New Roman"/>
          <w:sz w:val="24"/>
          <w:szCs w:val="24"/>
          <w:lang w:val="en-US"/>
        </w:rPr>
        <w:t>Shamakhy</w:t>
      </w:r>
      <w:proofErr w:type="spellEnd"/>
      <w:r>
        <w:rPr>
          <w:rFonts w:ascii="Times New Roman" w:hAnsi="Times New Roman"/>
          <w:sz w:val="24"/>
          <w:szCs w:val="24"/>
          <w:lang w:val="en-US"/>
        </w:rPr>
        <w:t xml:space="preserve"> Astrophysical Observatory named after </w:t>
      </w:r>
      <w:proofErr w:type="spellStart"/>
      <w:proofErr w:type="gramStart"/>
      <w:r>
        <w:rPr>
          <w:rFonts w:ascii="Times New Roman" w:hAnsi="Times New Roman"/>
          <w:sz w:val="24"/>
          <w:szCs w:val="24"/>
          <w:lang w:val="en-US"/>
        </w:rPr>
        <w:t>N.Tusi</w:t>
      </w:r>
      <w:proofErr w:type="spellEnd"/>
      <w:proofErr w:type="gramEnd"/>
      <w:r>
        <w:rPr>
          <w:rFonts w:ascii="Times New Roman" w:hAnsi="Times New Roman"/>
          <w:sz w:val="24"/>
          <w:szCs w:val="24"/>
          <w:lang w:val="en-US"/>
        </w:rPr>
        <w:t xml:space="preserve">, which has an aperture of 1:12.5. The photometer was equipped with a thermoelectrically cooled CCD matrix "FLI 4096x4096". The photometer is designed for fundamental and applied astronomical tasks and uses the relative photometry method. Photometric observations of the active galaxy NGC 4151 in the </w:t>
      </w:r>
      <w:proofErr w:type="spellStart"/>
      <w:r>
        <w:rPr>
          <w:rFonts w:ascii="Times New Roman" w:hAnsi="Times New Roman"/>
          <w:sz w:val="24"/>
          <w:szCs w:val="24"/>
          <w:lang w:val="en-US"/>
        </w:rPr>
        <w:t>BVRc</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Ic</w:t>
      </w:r>
      <w:proofErr w:type="spellEnd"/>
      <w:r>
        <w:rPr>
          <w:rFonts w:ascii="Times New Roman" w:hAnsi="Times New Roman"/>
          <w:sz w:val="24"/>
          <w:szCs w:val="24"/>
          <w:lang w:val="en-US"/>
        </w:rPr>
        <w:t xml:space="preserve"> bands were carried out differentially using comparison stars. The obtained photometric data were processed using the MAXIM DL 4 software package, and the resulting material was calibrated. Calibration frames for bias, dark, and flat were obtained for this purpose. </w:t>
      </w:r>
    </w:p>
    <w:p w14:paraId="1987DA7C" w14:textId="6ACA8A26" w:rsidR="00E67EDA" w:rsidRDefault="00E67EDA" w:rsidP="00E67EDA">
      <w:pPr>
        <w:spacing w:line="240" w:lineRule="auto"/>
        <w:jc w:val="center"/>
        <w:rPr>
          <w:rFonts w:ascii="Times New Roman" w:hAnsi="Times New Roman"/>
          <w:b/>
          <w:bCs/>
          <w:sz w:val="24"/>
          <w:szCs w:val="24"/>
          <w:lang w:val="en-US"/>
        </w:rPr>
      </w:pPr>
      <w:r>
        <w:rPr>
          <w:rFonts w:ascii="Times New Roman" w:hAnsi="Times New Roman"/>
          <w:noProof/>
          <w:sz w:val="24"/>
          <w:szCs w:val="24"/>
          <w:lang w:val="en-US"/>
        </w:rPr>
        <w:lastRenderedPageBreak/>
        <w:drawing>
          <wp:inline distT="0" distB="0" distL="0" distR="0" wp14:anchorId="7FC20484" wp14:editId="1175AF16">
            <wp:extent cx="4714875" cy="2740025"/>
            <wp:effectExtent l="0" t="0" r="9525" b="3175"/>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BD59893" w14:textId="77777777" w:rsidR="00E67EDA" w:rsidRDefault="00E67EDA" w:rsidP="00E67EDA">
      <w:pPr>
        <w:spacing w:line="240" w:lineRule="auto"/>
        <w:rPr>
          <w:rFonts w:ascii="Times New Roman" w:hAnsi="Times New Roman"/>
          <w:sz w:val="24"/>
          <w:szCs w:val="24"/>
          <w:lang w:val="en-US"/>
        </w:rPr>
      </w:pPr>
      <w:r>
        <w:rPr>
          <w:rFonts w:ascii="Times New Roman" w:hAnsi="Times New Roman"/>
          <w:bCs/>
          <w:sz w:val="24"/>
          <w:szCs w:val="24"/>
          <w:shd w:val="clear" w:color="auto" w:fill="FFFFFF"/>
          <w:lang w:val="en-US"/>
        </w:rPr>
        <w:t xml:space="preserve">Fig. 2. The light curve of the galaxy NGC 4151 in </w:t>
      </w:r>
      <w:proofErr w:type="spellStart"/>
      <w:r>
        <w:rPr>
          <w:rFonts w:ascii="Times New Roman" w:hAnsi="Times New Roman"/>
          <w:bCs/>
          <w:sz w:val="24"/>
          <w:szCs w:val="24"/>
          <w:shd w:val="clear" w:color="auto" w:fill="FFFFFF"/>
          <w:lang w:val="en-US"/>
        </w:rPr>
        <w:t>ShAO</w:t>
      </w:r>
      <w:proofErr w:type="spellEnd"/>
      <w:r>
        <w:rPr>
          <w:rFonts w:ascii="Times New Roman" w:hAnsi="Times New Roman"/>
          <w:bCs/>
          <w:sz w:val="24"/>
          <w:szCs w:val="24"/>
          <w:shd w:val="clear" w:color="auto" w:fill="FFFFFF"/>
          <w:lang w:val="en-US"/>
        </w:rPr>
        <w:t xml:space="preserve">. </w:t>
      </w:r>
      <w:r>
        <w:rPr>
          <w:rFonts w:ascii="Times New Roman" w:hAnsi="Times New Roman"/>
          <w:sz w:val="24"/>
          <w:szCs w:val="24"/>
          <w:lang w:val="en-US"/>
        </w:rPr>
        <w:t xml:space="preserve">The light curve for the period from June 14, 2016, to March 29, 2023, taken with the 60 cm telescope of the </w:t>
      </w:r>
      <w:proofErr w:type="spellStart"/>
      <w:r>
        <w:rPr>
          <w:rFonts w:ascii="Times New Roman" w:hAnsi="Times New Roman"/>
          <w:sz w:val="24"/>
          <w:szCs w:val="24"/>
          <w:lang w:val="en-US"/>
        </w:rPr>
        <w:t>ShAO</w:t>
      </w:r>
      <w:proofErr w:type="spellEnd"/>
      <w:r>
        <w:rPr>
          <w:rFonts w:ascii="Times New Roman" w:hAnsi="Times New Roman"/>
          <w:sz w:val="24"/>
          <w:szCs w:val="24"/>
          <w:lang w:val="en-US"/>
        </w:rPr>
        <w:t xml:space="preserve"> named after </w:t>
      </w:r>
      <w:proofErr w:type="spellStart"/>
      <w:proofErr w:type="gramStart"/>
      <w:r>
        <w:rPr>
          <w:rFonts w:ascii="Times New Roman" w:hAnsi="Times New Roman"/>
          <w:sz w:val="24"/>
          <w:szCs w:val="24"/>
          <w:lang w:val="en-US"/>
        </w:rPr>
        <w:t>N.Tusi</w:t>
      </w:r>
      <w:proofErr w:type="spellEnd"/>
      <w:proofErr w:type="gramEnd"/>
    </w:p>
    <w:p w14:paraId="1C4AE47F" w14:textId="77777777" w:rsidR="00E67EDA" w:rsidRDefault="00E67EDA" w:rsidP="00E67EDA">
      <w:pPr>
        <w:spacing w:line="240" w:lineRule="auto"/>
        <w:ind w:firstLine="708"/>
        <w:jc w:val="both"/>
        <w:rPr>
          <w:rFonts w:ascii="Times New Roman" w:hAnsi="Times New Roman"/>
          <w:sz w:val="24"/>
          <w:szCs w:val="24"/>
          <w:lang w:val="en-US"/>
        </w:rPr>
      </w:pPr>
      <w:r>
        <w:rPr>
          <w:rFonts w:ascii="Times New Roman" w:hAnsi="Times New Roman"/>
          <w:sz w:val="24"/>
          <w:szCs w:val="24"/>
          <w:lang w:val="en-US"/>
        </w:rPr>
        <w:t xml:space="preserve">During photometric observations, a synchronous change in brightness was detected across all filters, with the amplitude of the change from filter B to </w:t>
      </w:r>
      <w:proofErr w:type="spellStart"/>
      <w:r>
        <w:rPr>
          <w:rFonts w:ascii="Times New Roman" w:hAnsi="Times New Roman"/>
          <w:sz w:val="24"/>
          <w:szCs w:val="24"/>
          <w:lang w:val="en-US"/>
        </w:rPr>
        <w:t>Ic</w:t>
      </w:r>
      <w:proofErr w:type="spellEnd"/>
      <w:r>
        <w:rPr>
          <w:rFonts w:ascii="Times New Roman" w:hAnsi="Times New Roman"/>
          <w:sz w:val="24"/>
          <w:szCs w:val="24"/>
          <w:lang w:val="en-US"/>
        </w:rPr>
        <w:t xml:space="preserve"> being smaller than the changes in other filters.</w:t>
      </w:r>
    </w:p>
    <w:p w14:paraId="002C8C3F" w14:textId="77777777" w:rsidR="00E67EDA" w:rsidRDefault="00E67EDA" w:rsidP="00E67EDA">
      <w:pPr>
        <w:spacing w:line="240" w:lineRule="auto"/>
        <w:ind w:firstLine="708"/>
        <w:jc w:val="both"/>
        <w:rPr>
          <w:rFonts w:ascii="Times New Roman" w:hAnsi="Times New Roman"/>
          <w:sz w:val="24"/>
          <w:szCs w:val="24"/>
          <w:lang w:val="en-US"/>
        </w:rPr>
      </w:pPr>
      <w:r>
        <w:rPr>
          <w:rFonts w:ascii="Times New Roman" w:hAnsi="Times New Roman"/>
          <w:sz w:val="24"/>
          <w:szCs w:val="24"/>
          <w:lang w:val="en-US"/>
        </w:rPr>
        <w:t xml:space="preserve">The results of photometric variability of the </w:t>
      </w:r>
      <w:proofErr w:type="spellStart"/>
      <w:r>
        <w:rPr>
          <w:rFonts w:ascii="Times New Roman" w:hAnsi="Times New Roman"/>
          <w:sz w:val="24"/>
          <w:szCs w:val="24"/>
          <w:lang w:val="en-US"/>
        </w:rPr>
        <w:t>Seyfert</w:t>
      </w:r>
      <w:proofErr w:type="spellEnd"/>
      <w:r>
        <w:rPr>
          <w:rFonts w:ascii="Times New Roman" w:hAnsi="Times New Roman"/>
          <w:sz w:val="24"/>
          <w:szCs w:val="24"/>
          <w:lang w:val="en-US"/>
        </w:rPr>
        <w:t xml:space="preserve"> galaxy NGC 4151 from 2016 to 2023 are presented. The results of the observations show</w:t>
      </w:r>
      <w:r>
        <w:rPr>
          <w:rFonts w:ascii="Times New Roman" w:hAnsi="Times New Roman"/>
          <w:b/>
          <w:bCs/>
          <w:sz w:val="24"/>
          <w:szCs w:val="24"/>
          <w:lang w:val="en-US"/>
        </w:rPr>
        <w:t xml:space="preserve"> </w:t>
      </w:r>
      <w:r>
        <w:rPr>
          <w:rFonts w:ascii="Times New Roman" w:hAnsi="Times New Roman"/>
          <w:sz w:val="24"/>
          <w:szCs w:val="24"/>
          <w:lang w:val="en-US"/>
        </w:rPr>
        <w:t xml:space="preserve">that the brightness changes occur synchronously in all </w:t>
      </w:r>
      <w:proofErr w:type="spellStart"/>
      <w:r>
        <w:rPr>
          <w:rFonts w:ascii="Times New Roman" w:hAnsi="Times New Roman"/>
          <w:sz w:val="24"/>
          <w:szCs w:val="24"/>
          <w:lang w:val="en-US"/>
        </w:rPr>
        <w:t>BVRc</w:t>
      </w:r>
      <w:proofErr w:type="spellEnd"/>
      <w:r>
        <w:rPr>
          <w:rFonts w:ascii="Times New Roman" w:hAnsi="Times New Roman"/>
          <w:sz w:val="24"/>
          <w:szCs w:val="24"/>
          <w:lang w:val="en-US"/>
        </w:rPr>
        <w:t xml:space="preserve"> and </w:t>
      </w:r>
      <w:proofErr w:type="spellStart"/>
      <w:r>
        <w:rPr>
          <w:rFonts w:ascii="Times New Roman" w:hAnsi="Times New Roman"/>
          <w:sz w:val="24"/>
          <w:szCs w:val="24"/>
          <w:lang w:val="en-US"/>
        </w:rPr>
        <w:t>Ic</w:t>
      </w:r>
      <w:proofErr w:type="spellEnd"/>
      <w:r>
        <w:rPr>
          <w:rFonts w:ascii="Times New Roman" w:hAnsi="Times New Roman"/>
          <w:sz w:val="24"/>
          <w:szCs w:val="24"/>
          <w:lang w:val="en-US"/>
        </w:rPr>
        <w:t xml:space="preserve"> filters. There are both increases and decreases in brightness across all filters: ∆B: 0.187 mag (brightened), 0.879 mag (weaker), 0.202 mag (brighter); ∆V: 0.057 mag (weaker), 0.695 mag (brighter), 0.394 mag (weaker), 0.609 mag (brighter), 0.206 mag (weaker), 0.609 mag (brightened), 0.312 mag (weaker); ∆</w:t>
      </w:r>
      <w:proofErr w:type="spellStart"/>
      <w:r>
        <w:rPr>
          <w:rFonts w:ascii="Times New Roman" w:hAnsi="Times New Roman"/>
          <w:sz w:val="24"/>
          <w:szCs w:val="24"/>
          <w:lang w:val="en-US"/>
        </w:rPr>
        <w:t>Rc</w:t>
      </w:r>
      <w:proofErr w:type="spellEnd"/>
      <w:r>
        <w:rPr>
          <w:rFonts w:ascii="Times New Roman" w:hAnsi="Times New Roman"/>
          <w:sz w:val="24"/>
          <w:szCs w:val="24"/>
          <w:lang w:val="en-US"/>
        </w:rPr>
        <w:t>: 0.261 mag (weaker), 0.17 mag (brighter), 0.128 mag (weaker), 0.847 mag (brightened), 0.144 mag (weaker), 0.287 mag (brighter) ∆</w:t>
      </w:r>
      <w:proofErr w:type="spellStart"/>
      <w:r>
        <w:rPr>
          <w:rFonts w:ascii="Times New Roman" w:hAnsi="Times New Roman"/>
          <w:sz w:val="24"/>
          <w:szCs w:val="24"/>
          <w:lang w:val="en-US"/>
        </w:rPr>
        <w:t>Ic</w:t>
      </w:r>
      <w:proofErr w:type="spellEnd"/>
      <w:r>
        <w:rPr>
          <w:rFonts w:ascii="Times New Roman" w:hAnsi="Times New Roman"/>
          <w:sz w:val="24"/>
          <w:szCs w:val="24"/>
          <w:lang w:val="en-US"/>
        </w:rPr>
        <w:t>: 0.104 mag (weaker), 0.523 mag (brighter), 0.183 mag (weaker), 0.372 mag (brighter), 0.204 mag (weaker), 0.432 mag (brighter), 0.112 mag (weaker), 0.537 mag (brighter), 0.429 mag (weaker), and 0.287 mag (brightened). There is a</w:t>
      </w:r>
      <w:r>
        <w:rPr>
          <w:rFonts w:ascii="Times New Roman" w:hAnsi="Times New Roman"/>
          <w:b/>
          <w:bCs/>
          <w:sz w:val="24"/>
          <w:szCs w:val="24"/>
          <w:lang w:val="en-US"/>
        </w:rPr>
        <w:t xml:space="preserve"> </w:t>
      </w:r>
      <w:r>
        <w:rPr>
          <w:rFonts w:ascii="Times New Roman" w:hAnsi="Times New Roman"/>
          <w:sz w:val="24"/>
          <w:szCs w:val="24"/>
          <w:lang w:val="en-US"/>
        </w:rPr>
        <w:t>variability of a chaotic nature. It is assumed that the observed variability is due to a</w:t>
      </w:r>
      <w:r>
        <w:rPr>
          <w:rFonts w:ascii="Times New Roman" w:hAnsi="Times New Roman"/>
          <w:b/>
          <w:bCs/>
          <w:sz w:val="24"/>
          <w:szCs w:val="24"/>
          <w:lang w:val="en-US"/>
        </w:rPr>
        <w:t xml:space="preserve"> </w:t>
      </w:r>
      <w:r>
        <w:rPr>
          <w:rFonts w:ascii="Times New Roman" w:hAnsi="Times New Roman"/>
          <w:sz w:val="24"/>
          <w:szCs w:val="24"/>
          <w:lang w:val="en-US"/>
        </w:rPr>
        <w:t>change in the rate of accretion of matter to the supermassive black hole.</w:t>
      </w:r>
    </w:p>
    <w:p w14:paraId="480CF187" w14:textId="77777777" w:rsidR="00E67EDA" w:rsidRDefault="00E67EDA" w:rsidP="00E67EDA">
      <w:pPr>
        <w:spacing w:line="240" w:lineRule="auto"/>
        <w:jc w:val="both"/>
        <w:rPr>
          <w:rFonts w:ascii="Times New Roman" w:hAnsi="Times New Roman"/>
          <w:sz w:val="24"/>
          <w:szCs w:val="24"/>
          <w:lang w:val="en-US"/>
        </w:rPr>
      </w:pPr>
      <w:r>
        <w:rPr>
          <w:rFonts w:ascii="Times New Roman" w:hAnsi="Times New Roman"/>
          <w:b/>
          <w:bCs/>
          <w:sz w:val="24"/>
          <w:szCs w:val="24"/>
          <w:shd w:val="clear" w:color="auto" w:fill="FFFFFF"/>
          <w:lang w:val="en-US"/>
        </w:rPr>
        <w:t>References</w:t>
      </w:r>
    </w:p>
    <w:p w14:paraId="339A9B11" w14:textId="77777777" w:rsidR="00E67EDA" w:rsidRDefault="00E67EDA" w:rsidP="00E67EDA">
      <w:pPr>
        <w:pStyle w:val="a4"/>
        <w:numPr>
          <w:ilvl w:val="0"/>
          <w:numId w:val="1"/>
        </w:numPr>
        <w:spacing w:line="240" w:lineRule="auto"/>
        <w:jc w:val="both"/>
        <w:rPr>
          <w:rFonts w:ascii="Times New Roman" w:hAnsi="Times New Roman"/>
          <w:sz w:val="24"/>
          <w:szCs w:val="24"/>
          <w:lang w:val="en-US"/>
        </w:rPr>
      </w:pPr>
      <w:proofErr w:type="spellStart"/>
      <w:r>
        <w:rPr>
          <w:rFonts w:ascii="Times New Roman" w:hAnsi="Times New Roman"/>
          <w:sz w:val="24"/>
          <w:szCs w:val="24"/>
          <w:shd w:val="clear" w:color="auto" w:fill="FFFFFF"/>
          <w:lang w:val="en-US"/>
        </w:rPr>
        <w:t>Artamonov</w:t>
      </w:r>
      <w:proofErr w:type="spellEnd"/>
      <w:r>
        <w:rPr>
          <w:rFonts w:ascii="Times New Roman" w:hAnsi="Times New Roman"/>
          <w:sz w:val="24"/>
          <w:szCs w:val="24"/>
          <w:shd w:val="clear" w:color="auto" w:fill="FFFFFF"/>
          <w:lang w:val="en-US"/>
        </w:rPr>
        <w:t xml:space="preserve"> B., </w:t>
      </w:r>
      <w:proofErr w:type="spellStart"/>
      <w:r>
        <w:rPr>
          <w:rFonts w:ascii="Times New Roman" w:hAnsi="Times New Roman"/>
          <w:sz w:val="24"/>
          <w:szCs w:val="24"/>
          <w:shd w:val="clear" w:color="auto" w:fill="FFFFFF"/>
          <w:lang w:val="en-US"/>
        </w:rPr>
        <w:t>Oknyanskij</w:t>
      </w:r>
      <w:proofErr w:type="spellEnd"/>
      <w:r>
        <w:rPr>
          <w:rFonts w:ascii="Times New Roman" w:hAnsi="Times New Roman"/>
          <w:sz w:val="24"/>
          <w:szCs w:val="24"/>
          <w:shd w:val="clear" w:color="auto" w:fill="FFFFFF"/>
          <w:lang w:val="en-US"/>
        </w:rPr>
        <w:t xml:space="preserve"> V., </w:t>
      </w:r>
      <w:proofErr w:type="spellStart"/>
      <w:r>
        <w:rPr>
          <w:rFonts w:ascii="Times New Roman" w:hAnsi="Times New Roman"/>
          <w:sz w:val="24"/>
          <w:szCs w:val="24"/>
          <w:shd w:val="clear" w:color="auto" w:fill="FFFFFF"/>
          <w:lang w:val="en-US"/>
        </w:rPr>
        <w:t>Ezhkova</w:t>
      </w:r>
      <w:proofErr w:type="spellEnd"/>
      <w:r>
        <w:rPr>
          <w:rFonts w:ascii="Times New Roman" w:hAnsi="Times New Roman"/>
          <w:sz w:val="24"/>
          <w:szCs w:val="24"/>
          <w:shd w:val="clear" w:color="auto" w:fill="FFFFFF"/>
          <w:lang w:val="en-US"/>
        </w:rPr>
        <w:t xml:space="preserve"> O., </w:t>
      </w:r>
      <w:proofErr w:type="spellStart"/>
      <w:r>
        <w:rPr>
          <w:rFonts w:ascii="Times New Roman" w:hAnsi="Times New Roman"/>
          <w:sz w:val="24"/>
          <w:szCs w:val="24"/>
          <w:shd w:val="clear" w:color="auto" w:fill="FFFFFF"/>
          <w:lang w:val="en-US"/>
        </w:rPr>
        <w:t>Metlova</w:t>
      </w:r>
      <w:proofErr w:type="spellEnd"/>
      <w:r>
        <w:rPr>
          <w:rFonts w:ascii="Times New Roman" w:hAnsi="Times New Roman"/>
          <w:sz w:val="24"/>
          <w:szCs w:val="24"/>
          <w:shd w:val="clear" w:color="auto" w:fill="FFFFFF"/>
          <w:lang w:val="en-US"/>
        </w:rPr>
        <w:t xml:space="preserve"> N. 2013, Odessa </w:t>
      </w:r>
      <w:proofErr w:type="spellStart"/>
      <w:r>
        <w:rPr>
          <w:rFonts w:ascii="Times New Roman" w:hAnsi="Times New Roman"/>
          <w:sz w:val="24"/>
          <w:szCs w:val="24"/>
          <w:shd w:val="clear" w:color="auto" w:fill="FFFFFF"/>
          <w:lang w:val="en-US"/>
        </w:rPr>
        <w:t>Astron.Publ</w:t>
      </w:r>
      <w:proofErr w:type="spellEnd"/>
      <w:r>
        <w:rPr>
          <w:rFonts w:ascii="Times New Roman" w:hAnsi="Times New Roman"/>
          <w:sz w:val="24"/>
          <w:szCs w:val="24"/>
          <w:shd w:val="clear" w:color="auto" w:fill="FFFFFF"/>
          <w:lang w:val="en-US"/>
        </w:rPr>
        <w:t>., 26, 207</w:t>
      </w:r>
    </w:p>
    <w:p w14:paraId="4D3BA6EE" w14:textId="77777777" w:rsidR="00E67EDA" w:rsidRDefault="00E67EDA" w:rsidP="00E67EDA">
      <w:pPr>
        <w:pStyle w:val="a4"/>
        <w:numPr>
          <w:ilvl w:val="0"/>
          <w:numId w:val="1"/>
        </w:numPr>
        <w:spacing w:line="240" w:lineRule="auto"/>
        <w:jc w:val="both"/>
        <w:rPr>
          <w:rFonts w:ascii="Times New Roman" w:hAnsi="Times New Roman"/>
          <w:sz w:val="24"/>
          <w:szCs w:val="24"/>
          <w:shd w:val="clear" w:color="auto" w:fill="FFFFFF"/>
          <w:lang w:val="en-US"/>
        </w:rPr>
      </w:pPr>
      <w:proofErr w:type="spellStart"/>
      <w:r>
        <w:rPr>
          <w:rFonts w:ascii="Times New Roman" w:hAnsi="Times New Roman"/>
          <w:sz w:val="24"/>
          <w:szCs w:val="24"/>
          <w:shd w:val="clear" w:color="auto" w:fill="FFFFFF"/>
          <w:lang w:val="en-US"/>
        </w:rPr>
        <w:t>Doroshenko</w:t>
      </w:r>
      <w:proofErr w:type="spellEnd"/>
      <w:r>
        <w:rPr>
          <w:rFonts w:ascii="Times New Roman" w:hAnsi="Times New Roman"/>
          <w:sz w:val="24"/>
          <w:szCs w:val="24"/>
          <w:shd w:val="clear" w:color="auto" w:fill="FFFFFF"/>
          <w:lang w:val="en-US"/>
        </w:rPr>
        <w:t xml:space="preserve"> V. T., </w:t>
      </w:r>
      <w:proofErr w:type="spellStart"/>
      <w:r>
        <w:rPr>
          <w:rFonts w:ascii="Times New Roman" w:hAnsi="Times New Roman"/>
          <w:sz w:val="24"/>
          <w:szCs w:val="24"/>
          <w:shd w:val="clear" w:color="auto" w:fill="FFFFFF"/>
          <w:lang w:val="en-US"/>
        </w:rPr>
        <w:t>Lyuty</w:t>
      </w:r>
      <w:proofErr w:type="spellEnd"/>
      <w:r>
        <w:rPr>
          <w:rFonts w:ascii="Times New Roman" w:hAnsi="Times New Roman"/>
          <w:sz w:val="24"/>
          <w:szCs w:val="24"/>
          <w:shd w:val="clear" w:color="auto" w:fill="FFFFFF"/>
          <w:lang w:val="en-US"/>
        </w:rPr>
        <w:t xml:space="preserve"> V. M., </w:t>
      </w:r>
      <w:proofErr w:type="spellStart"/>
      <w:r>
        <w:rPr>
          <w:rFonts w:ascii="Times New Roman" w:hAnsi="Times New Roman"/>
          <w:sz w:val="24"/>
          <w:szCs w:val="24"/>
          <w:shd w:val="clear" w:color="auto" w:fill="FFFFFF"/>
          <w:lang w:val="en-US"/>
        </w:rPr>
        <w:t>Bochkarev</w:t>
      </w:r>
      <w:proofErr w:type="spellEnd"/>
      <w:r>
        <w:rPr>
          <w:rFonts w:ascii="Times New Roman" w:hAnsi="Times New Roman"/>
          <w:sz w:val="24"/>
          <w:szCs w:val="24"/>
          <w:shd w:val="clear" w:color="auto" w:fill="FFFFFF"/>
          <w:lang w:val="en-US"/>
        </w:rPr>
        <w:t xml:space="preserve"> N. G. et al. 2001, Astron. Letters,27, 65</w:t>
      </w:r>
    </w:p>
    <w:p w14:paraId="047FC471" w14:textId="77777777" w:rsidR="00E67EDA" w:rsidRDefault="00E67EDA" w:rsidP="00E67EDA">
      <w:pPr>
        <w:pStyle w:val="a4"/>
        <w:numPr>
          <w:ilvl w:val="0"/>
          <w:numId w:val="1"/>
        </w:numPr>
        <w:spacing w:line="24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Fitch W. S., </w:t>
      </w:r>
      <w:proofErr w:type="spellStart"/>
      <w:r>
        <w:rPr>
          <w:rFonts w:ascii="Times New Roman" w:hAnsi="Times New Roman"/>
          <w:sz w:val="24"/>
          <w:szCs w:val="24"/>
          <w:shd w:val="clear" w:color="auto" w:fill="FFFFFF"/>
          <w:lang w:val="en-US"/>
        </w:rPr>
        <w:t>Pacholczyk</w:t>
      </w:r>
      <w:proofErr w:type="spellEnd"/>
      <w:r>
        <w:rPr>
          <w:rFonts w:ascii="Times New Roman" w:hAnsi="Times New Roman"/>
          <w:sz w:val="24"/>
          <w:szCs w:val="24"/>
          <w:shd w:val="clear" w:color="auto" w:fill="FFFFFF"/>
          <w:lang w:val="en-US"/>
        </w:rPr>
        <w:t xml:space="preserve"> A. G., Weymann R. J. 1967, </w:t>
      </w:r>
      <w:proofErr w:type="spellStart"/>
      <w:r>
        <w:rPr>
          <w:rFonts w:ascii="Times New Roman" w:hAnsi="Times New Roman"/>
          <w:sz w:val="24"/>
          <w:szCs w:val="24"/>
          <w:shd w:val="clear" w:color="auto" w:fill="FFFFFF"/>
          <w:lang w:val="en-US"/>
        </w:rPr>
        <w:t>ApJ</w:t>
      </w:r>
      <w:proofErr w:type="spellEnd"/>
      <w:r>
        <w:rPr>
          <w:rFonts w:ascii="Times New Roman" w:hAnsi="Times New Roman"/>
          <w:sz w:val="24"/>
          <w:szCs w:val="24"/>
          <w:shd w:val="clear" w:color="auto" w:fill="FFFFFF"/>
          <w:lang w:val="en-US"/>
        </w:rPr>
        <w:t>, 150, L67</w:t>
      </w:r>
    </w:p>
    <w:p w14:paraId="349FDD92" w14:textId="77777777" w:rsidR="00E67EDA" w:rsidRDefault="00E67EDA" w:rsidP="00E67EDA">
      <w:pPr>
        <w:pStyle w:val="a4"/>
        <w:numPr>
          <w:ilvl w:val="0"/>
          <w:numId w:val="1"/>
        </w:numPr>
        <w:spacing w:line="240" w:lineRule="auto"/>
        <w:jc w:val="both"/>
        <w:rPr>
          <w:rFonts w:ascii="Times New Roman" w:hAnsi="Times New Roman"/>
          <w:sz w:val="24"/>
          <w:szCs w:val="24"/>
          <w:shd w:val="clear" w:color="auto" w:fill="FFFFFF"/>
          <w:lang w:val="en-US"/>
        </w:rPr>
      </w:pPr>
      <w:r>
        <w:rPr>
          <w:rFonts w:ascii="Times New Roman" w:hAnsi="Times New Roman"/>
          <w:sz w:val="24"/>
          <w:szCs w:val="24"/>
          <w:shd w:val="clear" w:color="auto" w:fill="FFFFFF"/>
          <w:lang w:val="en-US"/>
        </w:rPr>
        <w:t xml:space="preserve">Levine R. D., </w:t>
      </w:r>
      <w:proofErr w:type="spellStart"/>
      <w:r>
        <w:rPr>
          <w:rFonts w:ascii="Times New Roman" w:hAnsi="Times New Roman"/>
          <w:sz w:val="24"/>
          <w:szCs w:val="24"/>
          <w:shd w:val="clear" w:color="auto" w:fill="FFFFFF"/>
          <w:lang w:val="en-US"/>
        </w:rPr>
        <w:t>Rumstay</w:t>
      </w:r>
      <w:proofErr w:type="spellEnd"/>
      <w:r>
        <w:rPr>
          <w:rFonts w:ascii="Times New Roman" w:hAnsi="Times New Roman"/>
          <w:sz w:val="24"/>
          <w:szCs w:val="24"/>
          <w:shd w:val="clear" w:color="auto" w:fill="FFFFFF"/>
          <w:lang w:val="en-US"/>
        </w:rPr>
        <w:t xml:space="preserve"> K. S. 2001, BAAS, 33, 1517.</w:t>
      </w:r>
    </w:p>
    <w:p w14:paraId="7403FE8E" w14:textId="77777777" w:rsidR="00E67EDA" w:rsidRDefault="00E67EDA" w:rsidP="00E67EDA">
      <w:pPr>
        <w:pStyle w:val="a4"/>
        <w:numPr>
          <w:ilvl w:val="0"/>
          <w:numId w:val="1"/>
        </w:numPr>
        <w:spacing w:line="240" w:lineRule="auto"/>
        <w:jc w:val="both"/>
        <w:rPr>
          <w:rFonts w:ascii="Times New Roman" w:hAnsi="Times New Roman"/>
          <w:sz w:val="24"/>
          <w:szCs w:val="24"/>
          <w:shd w:val="clear" w:color="auto" w:fill="FFFFFF"/>
          <w:lang w:val="en-US"/>
        </w:rPr>
      </w:pPr>
      <w:proofErr w:type="spellStart"/>
      <w:r>
        <w:rPr>
          <w:rFonts w:ascii="Times New Roman" w:hAnsi="Times New Roman"/>
          <w:sz w:val="24"/>
          <w:szCs w:val="24"/>
          <w:shd w:val="clear" w:color="auto" w:fill="FFFFFF"/>
          <w:lang w:val="en-US"/>
        </w:rPr>
        <w:t>Oknyanskij</w:t>
      </w:r>
      <w:proofErr w:type="spellEnd"/>
      <w:r>
        <w:rPr>
          <w:rFonts w:ascii="Times New Roman" w:hAnsi="Times New Roman"/>
          <w:sz w:val="24"/>
          <w:szCs w:val="24"/>
          <w:shd w:val="clear" w:color="auto" w:fill="FFFFFF"/>
          <w:lang w:val="en-US"/>
        </w:rPr>
        <w:t xml:space="preserve"> V. L., </w:t>
      </w:r>
      <w:proofErr w:type="spellStart"/>
      <w:r>
        <w:rPr>
          <w:rFonts w:ascii="Times New Roman" w:hAnsi="Times New Roman"/>
          <w:sz w:val="24"/>
          <w:szCs w:val="24"/>
          <w:shd w:val="clear" w:color="auto" w:fill="FFFFFF"/>
          <w:lang w:val="en-US"/>
        </w:rPr>
        <w:t>Lyuty</w:t>
      </w:r>
      <w:proofErr w:type="spellEnd"/>
      <w:r>
        <w:rPr>
          <w:rFonts w:ascii="Times New Roman" w:hAnsi="Times New Roman"/>
          <w:sz w:val="24"/>
          <w:szCs w:val="24"/>
          <w:shd w:val="clear" w:color="auto" w:fill="FFFFFF"/>
          <w:lang w:val="en-US"/>
        </w:rPr>
        <w:t xml:space="preserve"> V. 2007, </w:t>
      </w:r>
      <w:proofErr w:type="spellStart"/>
      <w:r>
        <w:rPr>
          <w:rFonts w:ascii="Times New Roman" w:hAnsi="Times New Roman"/>
          <w:sz w:val="24"/>
          <w:szCs w:val="24"/>
          <w:shd w:val="clear" w:color="auto" w:fill="FFFFFF"/>
          <w:lang w:val="en-US"/>
        </w:rPr>
        <w:t>Peremenye</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Zvezdy</w:t>
      </w:r>
      <w:proofErr w:type="spellEnd"/>
      <w:r>
        <w:rPr>
          <w:rFonts w:ascii="Times New Roman" w:hAnsi="Times New Roman"/>
          <w:sz w:val="24"/>
          <w:szCs w:val="24"/>
          <w:shd w:val="clear" w:color="auto" w:fill="FFFFFF"/>
          <w:lang w:val="en-US"/>
        </w:rPr>
        <w:t xml:space="preserve">, </w:t>
      </w:r>
      <w:proofErr w:type="spellStart"/>
      <w:r>
        <w:rPr>
          <w:rFonts w:ascii="Times New Roman" w:hAnsi="Times New Roman"/>
          <w:sz w:val="24"/>
          <w:szCs w:val="24"/>
          <w:shd w:val="clear" w:color="auto" w:fill="FFFFFF"/>
          <w:lang w:val="en-US"/>
        </w:rPr>
        <w:t>Prilozhenie</w:t>
      </w:r>
      <w:proofErr w:type="spellEnd"/>
      <w:r>
        <w:rPr>
          <w:rFonts w:ascii="Times New Roman" w:hAnsi="Times New Roman"/>
          <w:sz w:val="24"/>
          <w:szCs w:val="24"/>
          <w:shd w:val="clear" w:color="auto" w:fill="FFFFFF"/>
          <w:lang w:val="en-US"/>
        </w:rPr>
        <w:t>, 7, 28</w:t>
      </w:r>
    </w:p>
    <w:bookmarkEnd w:id="0"/>
    <w:p w14:paraId="60468C00" w14:textId="77777777" w:rsidR="00A805DC" w:rsidRPr="00E67EDA" w:rsidRDefault="00A805DC">
      <w:pPr>
        <w:rPr>
          <w:lang w:val="en-US"/>
        </w:rPr>
      </w:pPr>
    </w:p>
    <w:sectPr w:rsidR="00A805DC" w:rsidRPr="00E67EDA" w:rsidSect="00A047DB">
      <w:pgSz w:w="11906" w:h="16838" w:code="9"/>
      <w:pgMar w:top="1134" w:right="1361" w:bottom="1259"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D6BDF"/>
    <w:multiLevelType w:val="hybridMultilevel"/>
    <w:tmpl w:val="29B2F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B45"/>
    <w:rsid w:val="00757B45"/>
    <w:rsid w:val="00A047DB"/>
    <w:rsid w:val="00A805DC"/>
    <w:rsid w:val="00E67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ABB68-012A-49A2-9B42-BAEFCDC15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DA"/>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E67EDA"/>
    <w:rPr>
      <w:color w:val="0563C1"/>
      <w:u w:val="single"/>
    </w:rPr>
  </w:style>
  <w:style w:type="paragraph" w:styleId="a4">
    <w:name w:val="List Paragraph"/>
    <w:basedOn w:val="a"/>
    <w:uiPriority w:val="34"/>
    <w:qFormat/>
    <w:rsid w:val="00E67E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0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OneDrive\Desktop\ngc4151\4151%203.4%20pi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00319202523927"/>
          <c:y val="4.5548654244306416E-2"/>
          <c:w val="0.85010270685861222"/>
          <c:h val="0.81284361193981192"/>
        </c:manualLayout>
      </c:layout>
      <c:scatterChart>
        <c:scatterStyle val="lineMarker"/>
        <c:varyColors val="0"/>
        <c:ser>
          <c:idx val="0"/>
          <c:order val="0"/>
          <c:tx>
            <c:strRef>
              <c:f>Sheet2!$B$1</c:f>
              <c:strCache>
                <c:ptCount val="1"/>
                <c:pt idx="0">
                  <c:v>B </c:v>
                </c:pt>
              </c:strCache>
            </c:strRef>
          </c:tx>
          <c:spPr>
            <a:ln w="19050" cap="rnd">
              <a:solidFill>
                <a:schemeClr val="tx1"/>
              </a:solidFill>
              <a:prstDash val="sysDot"/>
              <a:round/>
            </a:ln>
            <a:effectLst/>
          </c:spPr>
          <c:marker>
            <c:symbol val="none"/>
          </c:marker>
          <c:xVal>
            <c:numRef>
              <c:f>Sheet2!$A$2:$A$52</c:f>
              <c:numCache>
                <c:formatCode>General</c:formatCode>
                <c:ptCount val="51"/>
                <c:pt idx="0">
                  <c:v>7554.2960000000003</c:v>
                </c:pt>
                <c:pt idx="1">
                  <c:v>7563.2250000000004</c:v>
                </c:pt>
                <c:pt idx="2">
                  <c:v>7564.1949999999997</c:v>
                </c:pt>
                <c:pt idx="3">
                  <c:v>7569.2290000000003</c:v>
                </c:pt>
                <c:pt idx="4">
                  <c:v>7756.47</c:v>
                </c:pt>
                <c:pt idx="5">
                  <c:v>7760.4369999999999</c:v>
                </c:pt>
                <c:pt idx="6">
                  <c:v>7884.3249999999998</c:v>
                </c:pt>
                <c:pt idx="7">
                  <c:v>8234.2839999999997</c:v>
                </c:pt>
                <c:pt idx="8">
                  <c:v>8235.2450000000008</c:v>
                </c:pt>
                <c:pt idx="9">
                  <c:v>8241.2569999999996</c:v>
                </c:pt>
                <c:pt idx="10">
                  <c:v>8246.4079999999994</c:v>
                </c:pt>
                <c:pt idx="11">
                  <c:v>8253.3680000000004</c:v>
                </c:pt>
                <c:pt idx="12">
                  <c:v>8255.4230000000007</c:v>
                </c:pt>
                <c:pt idx="13">
                  <c:v>8256.3449999999993</c:v>
                </c:pt>
                <c:pt idx="14">
                  <c:v>8257.3529999999992</c:v>
                </c:pt>
                <c:pt idx="15">
                  <c:v>8275.2659999999996</c:v>
                </c:pt>
                <c:pt idx="16">
                  <c:v>8282.3150000000005</c:v>
                </c:pt>
                <c:pt idx="17">
                  <c:v>8285.3490000000002</c:v>
                </c:pt>
                <c:pt idx="18">
                  <c:v>8301.2649999999994</c:v>
                </c:pt>
                <c:pt idx="19">
                  <c:v>8305.25</c:v>
                </c:pt>
                <c:pt idx="20">
                  <c:v>8304.2579999999998</c:v>
                </c:pt>
                <c:pt idx="21">
                  <c:v>8306.2420000000002</c:v>
                </c:pt>
                <c:pt idx="22">
                  <c:v>8309.2369999999992</c:v>
                </c:pt>
                <c:pt idx="23">
                  <c:v>8310.25</c:v>
                </c:pt>
                <c:pt idx="24">
                  <c:v>8311.241</c:v>
                </c:pt>
                <c:pt idx="25">
                  <c:v>8313.3189999999995</c:v>
                </c:pt>
                <c:pt idx="26">
                  <c:v>8368.1650000000009</c:v>
                </c:pt>
                <c:pt idx="27">
                  <c:v>8371.18</c:v>
                </c:pt>
                <c:pt idx="28">
                  <c:v>8549.2270000000008</c:v>
                </c:pt>
                <c:pt idx="29">
                  <c:v>8877.4380000000001</c:v>
                </c:pt>
                <c:pt idx="30">
                  <c:v>8907.3580000000002</c:v>
                </c:pt>
                <c:pt idx="31">
                  <c:v>8988.3670000000002</c:v>
                </c:pt>
                <c:pt idx="32">
                  <c:v>8991.3979999999992</c:v>
                </c:pt>
                <c:pt idx="33">
                  <c:v>9010.3349999999991</c:v>
                </c:pt>
                <c:pt idx="34">
                  <c:v>9015.2970000000005</c:v>
                </c:pt>
                <c:pt idx="35">
                  <c:v>9050.259</c:v>
                </c:pt>
                <c:pt idx="36">
                  <c:v>9051.2749999999996</c:v>
                </c:pt>
                <c:pt idx="37">
                  <c:v>9257.4220000000005</c:v>
                </c:pt>
                <c:pt idx="38">
                  <c:v>9318.2669999999998</c:v>
                </c:pt>
                <c:pt idx="39">
                  <c:v>9348.3639999999996</c:v>
                </c:pt>
                <c:pt idx="40">
                  <c:v>9349.4349999999995</c:v>
                </c:pt>
                <c:pt idx="41">
                  <c:v>9364.3539999999994</c:v>
                </c:pt>
                <c:pt idx="42">
                  <c:v>9398.3680000000004</c:v>
                </c:pt>
                <c:pt idx="43">
                  <c:v>9401.3080000000009</c:v>
                </c:pt>
                <c:pt idx="44">
                  <c:v>9407.26</c:v>
                </c:pt>
                <c:pt idx="45">
                  <c:v>9469.2099999999991</c:v>
                </c:pt>
                <c:pt idx="46">
                  <c:v>9556.43</c:v>
                </c:pt>
                <c:pt idx="47">
                  <c:v>9557.4069999999992</c:v>
                </c:pt>
                <c:pt idx="48">
                  <c:v>9779.2939999999999</c:v>
                </c:pt>
                <c:pt idx="49">
                  <c:v>9826.1830000000009</c:v>
                </c:pt>
                <c:pt idx="50">
                  <c:v>10033.322</c:v>
                </c:pt>
              </c:numCache>
            </c:numRef>
          </c:xVal>
          <c:yVal>
            <c:numRef>
              <c:f>Sheet2!$B$2:$B$52</c:f>
              <c:numCache>
                <c:formatCode>General</c:formatCode>
                <c:ptCount val="51"/>
                <c:pt idx="0">
                  <c:v>13.2052</c:v>
                </c:pt>
                <c:pt idx="1">
                  <c:v>13.296000000000001</c:v>
                </c:pt>
                <c:pt idx="2">
                  <c:v>13.285</c:v>
                </c:pt>
                <c:pt idx="3">
                  <c:v>13.283600000000002</c:v>
                </c:pt>
                <c:pt idx="4">
                  <c:v>13.114800000000002</c:v>
                </c:pt>
                <c:pt idx="5">
                  <c:v>13.133000000000001</c:v>
                </c:pt>
                <c:pt idx="6">
                  <c:v>13.289000000000001</c:v>
                </c:pt>
                <c:pt idx="7">
                  <c:v>13.3352</c:v>
                </c:pt>
                <c:pt idx="8">
                  <c:v>13.318200000000001</c:v>
                </c:pt>
                <c:pt idx="9">
                  <c:v>13.320400000000001</c:v>
                </c:pt>
                <c:pt idx="10">
                  <c:v>13.3614</c:v>
                </c:pt>
                <c:pt idx="11">
                  <c:v>13.374600000000001</c:v>
                </c:pt>
                <c:pt idx="12">
                  <c:v>13.416000000000002</c:v>
                </c:pt>
                <c:pt idx="13">
                  <c:v>13.377799999999999</c:v>
                </c:pt>
                <c:pt idx="14">
                  <c:v>13.385399999999999</c:v>
                </c:pt>
                <c:pt idx="15">
                  <c:v>13.309199999999999</c:v>
                </c:pt>
                <c:pt idx="16">
                  <c:v>13.316799999999997</c:v>
                </c:pt>
                <c:pt idx="17">
                  <c:v>13.3066</c:v>
                </c:pt>
                <c:pt idx="18">
                  <c:v>13.3596</c:v>
                </c:pt>
                <c:pt idx="19">
                  <c:v>13.359800000000002</c:v>
                </c:pt>
                <c:pt idx="20">
                  <c:v>13.343</c:v>
                </c:pt>
                <c:pt idx="21">
                  <c:v>13.343800000000002</c:v>
                </c:pt>
                <c:pt idx="22">
                  <c:v>13.351666666666667</c:v>
                </c:pt>
                <c:pt idx="23">
                  <c:v>13.371</c:v>
                </c:pt>
                <c:pt idx="24">
                  <c:v>13.351399999999998</c:v>
                </c:pt>
                <c:pt idx="25">
                  <c:v>13.323400000000001</c:v>
                </c:pt>
                <c:pt idx="26">
                  <c:v>13.2216</c:v>
                </c:pt>
                <c:pt idx="27">
                  <c:v>13.227600000000001</c:v>
                </c:pt>
                <c:pt idx="28">
                  <c:v>13.242600000000001</c:v>
                </c:pt>
                <c:pt idx="29">
                  <c:v>12.922800000000001</c:v>
                </c:pt>
                <c:pt idx="30">
                  <c:v>12.88</c:v>
                </c:pt>
                <c:pt idx="31">
                  <c:v>12.8154</c:v>
                </c:pt>
                <c:pt idx="32">
                  <c:v>12.839000000000002</c:v>
                </c:pt>
                <c:pt idx="33">
                  <c:v>13.0184</c:v>
                </c:pt>
                <c:pt idx="34">
                  <c:v>13.06925</c:v>
                </c:pt>
                <c:pt idx="35">
                  <c:v>13.165333333333335</c:v>
                </c:pt>
                <c:pt idx="36">
                  <c:v>13.170999999999999</c:v>
                </c:pt>
                <c:pt idx="37">
                  <c:v>12.625666666666666</c:v>
                </c:pt>
                <c:pt idx="38">
                  <c:v>12.685666666666668</c:v>
                </c:pt>
                <c:pt idx="39">
                  <c:v>12.534400000000002</c:v>
                </c:pt>
                <c:pt idx="40">
                  <c:v>12.878800000000002</c:v>
                </c:pt>
                <c:pt idx="41">
                  <c:v>12.7758</c:v>
                </c:pt>
                <c:pt idx="42">
                  <c:v>12.513</c:v>
                </c:pt>
                <c:pt idx="43">
                  <c:v>12.554</c:v>
                </c:pt>
                <c:pt idx="44">
                  <c:v>12.340333333333334</c:v>
                </c:pt>
                <c:pt idx="45">
                  <c:v>12.343</c:v>
                </c:pt>
                <c:pt idx="46">
                  <c:v>12.326000000000001</c:v>
                </c:pt>
                <c:pt idx="47">
                  <c:v>11.747666666666667</c:v>
                </c:pt>
                <c:pt idx="48">
                  <c:v>12.518666666666668</c:v>
                </c:pt>
                <c:pt idx="49">
                  <c:v>12.060333333333332</c:v>
                </c:pt>
                <c:pt idx="50">
                  <c:v>12.036333333333333</c:v>
                </c:pt>
              </c:numCache>
            </c:numRef>
          </c:yVal>
          <c:smooth val="0"/>
          <c:extLst>
            <c:ext xmlns:c16="http://schemas.microsoft.com/office/drawing/2014/chart" uri="{C3380CC4-5D6E-409C-BE32-E72D297353CC}">
              <c16:uniqueId val="{00000000-BB6A-4198-8CDA-A157225044D8}"/>
            </c:ext>
          </c:extLst>
        </c:ser>
        <c:ser>
          <c:idx val="1"/>
          <c:order val="1"/>
          <c:tx>
            <c:strRef>
              <c:f>Sheet2!$C$1</c:f>
              <c:strCache>
                <c:ptCount val="1"/>
                <c:pt idx="0">
                  <c:v>V </c:v>
                </c:pt>
              </c:strCache>
            </c:strRef>
          </c:tx>
          <c:spPr>
            <a:ln w="19050" cap="rnd">
              <a:solidFill>
                <a:schemeClr val="tx1"/>
              </a:solidFill>
              <a:prstDash val="sysDash"/>
              <a:round/>
            </a:ln>
            <a:effectLst/>
          </c:spPr>
          <c:marker>
            <c:symbol val="none"/>
          </c:marker>
          <c:xVal>
            <c:numRef>
              <c:f>Sheet2!$A$2:$A$52</c:f>
              <c:numCache>
                <c:formatCode>General</c:formatCode>
                <c:ptCount val="51"/>
                <c:pt idx="0">
                  <c:v>7554.2960000000003</c:v>
                </c:pt>
                <c:pt idx="1">
                  <c:v>7563.2250000000004</c:v>
                </c:pt>
                <c:pt idx="2">
                  <c:v>7564.1949999999997</c:v>
                </c:pt>
                <c:pt idx="3">
                  <c:v>7569.2290000000003</c:v>
                </c:pt>
                <c:pt idx="4">
                  <c:v>7756.47</c:v>
                </c:pt>
                <c:pt idx="5">
                  <c:v>7760.4369999999999</c:v>
                </c:pt>
                <c:pt idx="6">
                  <c:v>7884.3249999999998</c:v>
                </c:pt>
                <c:pt idx="7">
                  <c:v>8234.2839999999997</c:v>
                </c:pt>
                <c:pt idx="8">
                  <c:v>8235.2450000000008</c:v>
                </c:pt>
                <c:pt idx="9">
                  <c:v>8241.2569999999996</c:v>
                </c:pt>
                <c:pt idx="10">
                  <c:v>8246.4079999999994</c:v>
                </c:pt>
                <c:pt idx="11">
                  <c:v>8253.3680000000004</c:v>
                </c:pt>
                <c:pt idx="12">
                  <c:v>8255.4230000000007</c:v>
                </c:pt>
                <c:pt idx="13">
                  <c:v>8256.3449999999993</c:v>
                </c:pt>
                <c:pt idx="14">
                  <c:v>8257.3529999999992</c:v>
                </c:pt>
                <c:pt idx="15">
                  <c:v>8275.2659999999996</c:v>
                </c:pt>
                <c:pt idx="16">
                  <c:v>8282.3150000000005</c:v>
                </c:pt>
                <c:pt idx="17">
                  <c:v>8285.3490000000002</c:v>
                </c:pt>
                <c:pt idx="18">
                  <c:v>8301.2649999999994</c:v>
                </c:pt>
                <c:pt idx="19">
                  <c:v>8305.25</c:v>
                </c:pt>
                <c:pt idx="20">
                  <c:v>8304.2579999999998</c:v>
                </c:pt>
                <c:pt idx="21">
                  <c:v>8306.2420000000002</c:v>
                </c:pt>
                <c:pt idx="22">
                  <c:v>8309.2369999999992</c:v>
                </c:pt>
                <c:pt idx="23">
                  <c:v>8310.25</c:v>
                </c:pt>
                <c:pt idx="24">
                  <c:v>8311.241</c:v>
                </c:pt>
                <c:pt idx="25">
                  <c:v>8313.3189999999995</c:v>
                </c:pt>
                <c:pt idx="26">
                  <c:v>8368.1650000000009</c:v>
                </c:pt>
                <c:pt idx="27">
                  <c:v>8371.18</c:v>
                </c:pt>
                <c:pt idx="28">
                  <c:v>8549.2270000000008</c:v>
                </c:pt>
                <c:pt idx="29">
                  <c:v>8877.4380000000001</c:v>
                </c:pt>
                <c:pt idx="30">
                  <c:v>8907.3580000000002</c:v>
                </c:pt>
                <c:pt idx="31">
                  <c:v>8988.3670000000002</c:v>
                </c:pt>
                <c:pt idx="32">
                  <c:v>8991.3979999999992</c:v>
                </c:pt>
                <c:pt idx="33">
                  <c:v>9010.3349999999991</c:v>
                </c:pt>
                <c:pt idx="34">
                  <c:v>9015.2970000000005</c:v>
                </c:pt>
                <c:pt idx="35">
                  <c:v>9050.259</c:v>
                </c:pt>
                <c:pt idx="36">
                  <c:v>9051.2749999999996</c:v>
                </c:pt>
                <c:pt idx="37">
                  <c:v>9257.4220000000005</c:v>
                </c:pt>
                <c:pt idx="38">
                  <c:v>9318.2669999999998</c:v>
                </c:pt>
                <c:pt idx="39">
                  <c:v>9348.3639999999996</c:v>
                </c:pt>
                <c:pt idx="40">
                  <c:v>9349.4349999999995</c:v>
                </c:pt>
                <c:pt idx="41">
                  <c:v>9364.3539999999994</c:v>
                </c:pt>
                <c:pt idx="42">
                  <c:v>9398.3680000000004</c:v>
                </c:pt>
                <c:pt idx="43">
                  <c:v>9401.3080000000009</c:v>
                </c:pt>
                <c:pt idx="44">
                  <c:v>9407.26</c:v>
                </c:pt>
                <c:pt idx="45">
                  <c:v>9469.2099999999991</c:v>
                </c:pt>
                <c:pt idx="46">
                  <c:v>9556.43</c:v>
                </c:pt>
                <c:pt idx="47">
                  <c:v>9557.4069999999992</c:v>
                </c:pt>
                <c:pt idx="48">
                  <c:v>9779.2939999999999</c:v>
                </c:pt>
                <c:pt idx="49">
                  <c:v>9826.1830000000009</c:v>
                </c:pt>
                <c:pt idx="50">
                  <c:v>10033.322</c:v>
                </c:pt>
              </c:numCache>
            </c:numRef>
          </c:xVal>
          <c:yVal>
            <c:numRef>
              <c:f>Sheet2!$C$2:$C$52</c:f>
              <c:numCache>
                <c:formatCode>General</c:formatCode>
                <c:ptCount val="51"/>
                <c:pt idx="0">
                  <c:v>12.697900000000001</c:v>
                </c:pt>
                <c:pt idx="1">
                  <c:v>12.709800000000001</c:v>
                </c:pt>
                <c:pt idx="2">
                  <c:v>12.763400000000001</c:v>
                </c:pt>
                <c:pt idx="3">
                  <c:v>12.8202</c:v>
                </c:pt>
                <c:pt idx="4">
                  <c:v>12.523000000000001</c:v>
                </c:pt>
                <c:pt idx="5">
                  <c:v>12.5168</c:v>
                </c:pt>
                <c:pt idx="6">
                  <c:v>12.570399999999999</c:v>
                </c:pt>
                <c:pt idx="7">
                  <c:v>12.537199999999999</c:v>
                </c:pt>
                <c:pt idx="8">
                  <c:v>12.527200000000001</c:v>
                </c:pt>
                <c:pt idx="9">
                  <c:v>12.5434</c:v>
                </c:pt>
                <c:pt idx="10">
                  <c:v>12.548600000000002</c:v>
                </c:pt>
                <c:pt idx="11">
                  <c:v>12.5562</c:v>
                </c:pt>
                <c:pt idx="12">
                  <c:v>12.585800000000001</c:v>
                </c:pt>
                <c:pt idx="13">
                  <c:v>12.555200000000001</c:v>
                </c:pt>
                <c:pt idx="14">
                  <c:v>12.5726</c:v>
                </c:pt>
                <c:pt idx="15">
                  <c:v>12.521999999999998</c:v>
                </c:pt>
                <c:pt idx="16">
                  <c:v>12.519200000000001</c:v>
                </c:pt>
                <c:pt idx="17">
                  <c:v>12.5436</c:v>
                </c:pt>
                <c:pt idx="18">
                  <c:v>12.548999999999999</c:v>
                </c:pt>
                <c:pt idx="19">
                  <c:v>12.536599999999998</c:v>
                </c:pt>
                <c:pt idx="20">
                  <c:v>12.521799999999999</c:v>
                </c:pt>
                <c:pt idx="21">
                  <c:v>12.5428</c:v>
                </c:pt>
                <c:pt idx="22">
                  <c:v>12.555333333333332</c:v>
                </c:pt>
                <c:pt idx="23">
                  <c:v>12.539199999999999</c:v>
                </c:pt>
                <c:pt idx="24">
                  <c:v>12.5304</c:v>
                </c:pt>
                <c:pt idx="25">
                  <c:v>12.540400000000002</c:v>
                </c:pt>
                <c:pt idx="26">
                  <c:v>12.5016</c:v>
                </c:pt>
                <c:pt idx="27">
                  <c:v>12.4558</c:v>
                </c:pt>
                <c:pt idx="28">
                  <c:v>12.444999999999999</c:v>
                </c:pt>
                <c:pt idx="29">
                  <c:v>12.2112</c:v>
                </c:pt>
                <c:pt idx="30">
                  <c:v>12.238333333333335</c:v>
                </c:pt>
                <c:pt idx="31">
                  <c:v>12.219000000000001</c:v>
                </c:pt>
                <c:pt idx="32">
                  <c:v>12.201600000000001</c:v>
                </c:pt>
                <c:pt idx="33">
                  <c:v>12.2928</c:v>
                </c:pt>
                <c:pt idx="34">
                  <c:v>12.3436</c:v>
                </c:pt>
                <c:pt idx="35">
                  <c:v>12.436</c:v>
                </c:pt>
                <c:pt idx="36">
                  <c:v>12.416333333333334</c:v>
                </c:pt>
                <c:pt idx="37">
                  <c:v>12.047333333333334</c:v>
                </c:pt>
                <c:pt idx="38">
                  <c:v>11.920333333333334</c:v>
                </c:pt>
                <c:pt idx="39">
                  <c:v>11.987400000000001</c:v>
                </c:pt>
                <c:pt idx="40">
                  <c:v>11.986800000000001</c:v>
                </c:pt>
                <c:pt idx="41">
                  <c:v>12.1724</c:v>
                </c:pt>
                <c:pt idx="42">
                  <c:v>11.966999999999999</c:v>
                </c:pt>
                <c:pt idx="43">
                  <c:v>11.945333333333332</c:v>
                </c:pt>
                <c:pt idx="44">
                  <c:v>12.033666666666667</c:v>
                </c:pt>
                <c:pt idx="45">
                  <c:v>11.870200000000001</c:v>
                </c:pt>
                <c:pt idx="46">
                  <c:v>11.754</c:v>
                </c:pt>
                <c:pt idx="47">
                  <c:v>11.795</c:v>
                </c:pt>
                <c:pt idx="48">
                  <c:v>12.194666666666668</c:v>
                </c:pt>
                <c:pt idx="49">
                  <c:v>11.902333333333333</c:v>
                </c:pt>
                <c:pt idx="50">
                  <c:v>11.781666666666666</c:v>
                </c:pt>
              </c:numCache>
            </c:numRef>
          </c:yVal>
          <c:smooth val="0"/>
          <c:extLst>
            <c:ext xmlns:c16="http://schemas.microsoft.com/office/drawing/2014/chart" uri="{C3380CC4-5D6E-409C-BE32-E72D297353CC}">
              <c16:uniqueId val="{00000001-BB6A-4198-8CDA-A157225044D8}"/>
            </c:ext>
          </c:extLst>
        </c:ser>
        <c:ser>
          <c:idx val="2"/>
          <c:order val="2"/>
          <c:tx>
            <c:strRef>
              <c:f>Sheet2!$D$1</c:f>
              <c:strCache>
                <c:ptCount val="1"/>
                <c:pt idx="0">
                  <c:v>Rc </c:v>
                </c:pt>
              </c:strCache>
            </c:strRef>
          </c:tx>
          <c:spPr>
            <a:ln w="19050" cap="rnd">
              <a:solidFill>
                <a:schemeClr val="tx1"/>
              </a:solidFill>
              <a:prstDash val="solid"/>
              <a:round/>
            </a:ln>
            <a:effectLst/>
          </c:spPr>
          <c:marker>
            <c:symbol val="none"/>
          </c:marker>
          <c:xVal>
            <c:numRef>
              <c:f>Sheet2!$A$2:$A$52</c:f>
              <c:numCache>
                <c:formatCode>General</c:formatCode>
                <c:ptCount val="51"/>
                <c:pt idx="0">
                  <c:v>7554.2960000000003</c:v>
                </c:pt>
                <c:pt idx="1">
                  <c:v>7563.2250000000004</c:v>
                </c:pt>
                <c:pt idx="2">
                  <c:v>7564.1949999999997</c:v>
                </c:pt>
                <c:pt idx="3">
                  <c:v>7569.2290000000003</c:v>
                </c:pt>
                <c:pt idx="4">
                  <c:v>7756.47</c:v>
                </c:pt>
                <c:pt idx="5">
                  <c:v>7760.4369999999999</c:v>
                </c:pt>
                <c:pt idx="6">
                  <c:v>7884.3249999999998</c:v>
                </c:pt>
                <c:pt idx="7">
                  <c:v>8234.2839999999997</c:v>
                </c:pt>
                <c:pt idx="8">
                  <c:v>8235.2450000000008</c:v>
                </c:pt>
                <c:pt idx="9">
                  <c:v>8241.2569999999996</c:v>
                </c:pt>
                <c:pt idx="10">
                  <c:v>8246.4079999999994</c:v>
                </c:pt>
                <c:pt idx="11">
                  <c:v>8253.3680000000004</c:v>
                </c:pt>
                <c:pt idx="12">
                  <c:v>8255.4230000000007</c:v>
                </c:pt>
                <c:pt idx="13">
                  <c:v>8256.3449999999993</c:v>
                </c:pt>
                <c:pt idx="14">
                  <c:v>8257.3529999999992</c:v>
                </c:pt>
                <c:pt idx="15">
                  <c:v>8275.2659999999996</c:v>
                </c:pt>
                <c:pt idx="16">
                  <c:v>8282.3150000000005</c:v>
                </c:pt>
                <c:pt idx="17">
                  <c:v>8285.3490000000002</c:v>
                </c:pt>
                <c:pt idx="18">
                  <c:v>8301.2649999999994</c:v>
                </c:pt>
                <c:pt idx="19">
                  <c:v>8305.25</c:v>
                </c:pt>
                <c:pt idx="20">
                  <c:v>8304.2579999999998</c:v>
                </c:pt>
                <c:pt idx="21">
                  <c:v>8306.2420000000002</c:v>
                </c:pt>
                <c:pt idx="22">
                  <c:v>8309.2369999999992</c:v>
                </c:pt>
                <c:pt idx="23">
                  <c:v>8310.25</c:v>
                </c:pt>
                <c:pt idx="24">
                  <c:v>8311.241</c:v>
                </c:pt>
                <c:pt idx="25">
                  <c:v>8313.3189999999995</c:v>
                </c:pt>
                <c:pt idx="26">
                  <c:v>8368.1650000000009</c:v>
                </c:pt>
                <c:pt idx="27">
                  <c:v>8371.18</c:v>
                </c:pt>
                <c:pt idx="28">
                  <c:v>8549.2270000000008</c:v>
                </c:pt>
                <c:pt idx="29">
                  <c:v>8877.4380000000001</c:v>
                </c:pt>
                <c:pt idx="30">
                  <c:v>8907.3580000000002</c:v>
                </c:pt>
                <c:pt idx="31">
                  <c:v>8988.3670000000002</c:v>
                </c:pt>
                <c:pt idx="32">
                  <c:v>8991.3979999999992</c:v>
                </c:pt>
                <c:pt idx="33">
                  <c:v>9010.3349999999991</c:v>
                </c:pt>
                <c:pt idx="34">
                  <c:v>9015.2970000000005</c:v>
                </c:pt>
                <c:pt idx="35">
                  <c:v>9050.259</c:v>
                </c:pt>
                <c:pt idx="36">
                  <c:v>9051.2749999999996</c:v>
                </c:pt>
                <c:pt idx="37">
                  <c:v>9257.4220000000005</c:v>
                </c:pt>
                <c:pt idx="38">
                  <c:v>9318.2669999999998</c:v>
                </c:pt>
                <c:pt idx="39">
                  <c:v>9348.3639999999996</c:v>
                </c:pt>
                <c:pt idx="40">
                  <c:v>9349.4349999999995</c:v>
                </c:pt>
                <c:pt idx="41">
                  <c:v>9364.3539999999994</c:v>
                </c:pt>
                <c:pt idx="42">
                  <c:v>9398.3680000000004</c:v>
                </c:pt>
                <c:pt idx="43">
                  <c:v>9401.3080000000009</c:v>
                </c:pt>
                <c:pt idx="44">
                  <c:v>9407.26</c:v>
                </c:pt>
                <c:pt idx="45">
                  <c:v>9469.2099999999991</c:v>
                </c:pt>
                <c:pt idx="46">
                  <c:v>9556.43</c:v>
                </c:pt>
                <c:pt idx="47">
                  <c:v>9557.4069999999992</c:v>
                </c:pt>
                <c:pt idx="48">
                  <c:v>9779.2939999999999</c:v>
                </c:pt>
                <c:pt idx="49">
                  <c:v>9826.1830000000009</c:v>
                </c:pt>
                <c:pt idx="50">
                  <c:v>10033.322</c:v>
                </c:pt>
              </c:numCache>
            </c:numRef>
          </c:xVal>
          <c:yVal>
            <c:numRef>
              <c:f>Sheet2!$D$2:$D$52</c:f>
              <c:numCache>
                <c:formatCode>General</c:formatCode>
                <c:ptCount val="51"/>
                <c:pt idx="0">
                  <c:v>12.382</c:v>
                </c:pt>
                <c:pt idx="1">
                  <c:v>12.4964</c:v>
                </c:pt>
                <c:pt idx="2">
                  <c:v>12.4534</c:v>
                </c:pt>
                <c:pt idx="3">
                  <c:v>12.4352</c:v>
                </c:pt>
                <c:pt idx="4">
                  <c:v>12.1326</c:v>
                </c:pt>
                <c:pt idx="5">
                  <c:v>12.127799999999999</c:v>
                </c:pt>
                <c:pt idx="6">
                  <c:v>12.262</c:v>
                </c:pt>
                <c:pt idx="7">
                  <c:v>11.981399999999999</c:v>
                </c:pt>
                <c:pt idx="8">
                  <c:v>11.9824</c:v>
                </c:pt>
                <c:pt idx="9">
                  <c:v>11.9598</c:v>
                </c:pt>
                <c:pt idx="10">
                  <c:v>11.994200000000001</c:v>
                </c:pt>
                <c:pt idx="11">
                  <c:v>12.022600000000001</c:v>
                </c:pt>
                <c:pt idx="12">
                  <c:v>12.0052</c:v>
                </c:pt>
                <c:pt idx="13">
                  <c:v>12.02</c:v>
                </c:pt>
                <c:pt idx="14">
                  <c:v>12.024199999999999</c:v>
                </c:pt>
                <c:pt idx="15">
                  <c:v>11.957800000000001</c:v>
                </c:pt>
                <c:pt idx="16">
                  <c:v>12.004200000000001</c:v>
                </c:pt>
                <c:pt idx="17">
                  <c:v>11.954800000000001</c:v>
                </c:pt>
                <c:pt idx="18">
                  <c:v>12.035</c:v>
                </c:pt>
                <c:pt idx="19">
                  <c:v>12.049199999999999</c:v>
                </c:pt>
                <c:pt idx="20">
                  <c:v>12.028600000000001</c:v>
                </c:pt>
                <c:pt idx="21">
                  <c:v>12.0214</c:v>
                </c:pt>
                <c:pt idx="22">
                  <c:v>12.048666666666668</c:v>
                </c:pt>
                <c:pt idx="23">
                  <c:v>12.013399999999999</c:v>
                </c:pt>
                <c:pt idx="24">
                  <c:v>12.0718</c:v>
                </c:pt>
                <c:pt idx="25">
                  <c:v>12.049600000000002</c:v>
                </c:pt>
                <c:pt idx="26">
                  <c:v>11.880799999999997</c:v>
                </c:pt>
                <c:pt idx="27">
                  <c:v>11.8528</c:v>
                </c:pt>
                <c:pt idx="28">
                  <c:v>12.227599999999999</c:v>
                </c:pt>
                <c:pt idx="29">
                  <c:v>11.956199999999999</c:v>
                </c:pt>
                <c:pt idx="30">
                  <c:v>11.993333333333332</c:v>
                </c:pt>
                <c:pt idx="31">
                  <c:v>11.9794</c:v>
                </c:pt>
                <c:pt idx="32">
                  <c:v>11.924200000000003</c:v>
                </c:pt>
                <c:pt idx="33">
                  <c:v>12.043600000000001</c:v>
                </c:pt>
                <c:pt idx="34">
                  <c:v>12.0418</c:v>
                </c:pt>
                <c:pt idx="35">
                  <c:v>12.114666666666666</c:v>
                </c:pt>
                <c:pt idx="36">
                  <c:v>12.159999999999998</c:v>
                </c:pt>
                <c:pt idx="37">
                  <c:v>11.782666666666666</c:v>
                </c:pt>
                <c:pt idx="38">
                  <c:v>11.663666666666666</c:v>
                </c:pt>
                <c:pt idx="39">
                  <c:v>11.847999999999999</c:v>
                </c:pt>
                <c:pt idx="40">
                  <c:v>11.706999999999999</c:v>
                </c:pt>
                <c:pt idx="41">
                  <c:v>11.861999999999998</c:v>
                </c:pt>
                <c:pt idx="42">
                  <c:v>11.667</c:v>
                </c:pt>
                <c:pt idx="43">
                  <c:v>11.725666666666667</c:v>
                </c:pt>
                <c:pt idx="44">
                  <c:v>11.730333333333334</c:v>
                </c:pt>
                <c:pt idx="45">
                  <c:v>11.6198</c:v>
                </c:pt>
                <c:pt idx="46">
                  <c:v>11.543333333333335</c:v>
                </c:pt>
                <c:pt idx="47">
                  <c:v>11.521000000000001</c:v>
                </c:pt>
                <c:pt idx="48">
                  <c:v>11.911</c:v>
                </c:pt>
                <c:pt idx="49">
                  <c:v>11.640666666666666</c:v>
                </c:pt>
                <c:pt idx="50">
                  <c:v>11.455</c:v>
                </c:pt>
              </c:numCache>
            </c:numRef>
          </c:yVal>
          <c:smooth val="0"/>
          <c:extLst>
            <c:ext xmlns:c16="http://schemas.microsoft.com/office/drawing/2014/chart" uri="{C3380CC4-5D6E-409C-BE32-E72D297353CC}">
              <c16:uniqueId val="{00000002-BB6A-4198-8CDA-A157225044D8}"/>
            </c:ext>
          </c:extLst>
        </c:ser>
        <c:ser>
          <c:idx val="3"/>
          <c:order val="3"/>
          <c:tx>
            <c:strRef>
              <c:f>Sheet2!$E$1</c:f>
              <c:strCache>
                <c:ptCount val="1"/>
                <c:pt idx="0">
                  <c:v>Ic</c:v>
                </c:pt>
              </c:strCache>
            </c:strRef>
          </c:tx>
          <c:spPr>
            <a:ln w="19050" cap="rnd">
              <a:solidFill>
                <a:schemeClr val="tx1"/>
              </a:solidFill>
              <a:prstDash val="lgDashDotDot"/>
              <a:round/>
            </a:ln>
            <a:effectLst/>
          </c:spPr>
          <c:marker>
            <c:symbol val="none"/>
          </c:marker>
          <c:xVal>
            <c:numRef>
              <c:f>Sheet2!$A$2:$A$52</c:f>
              <c:numCache>
                <c:formatCode>General</c:formatCode>
                <c:ptCount val="51"/>
                <c:pt idx="0">
                  <c:v>7554.2960000000003</c:v>
                </c:pt>
                <c:pt idx="1">
                  <c:v>7563.2250000000004</c:v>
                </c:pt>
                <c:pt idx="2">
                  <c:v>7564.1949999999997</c:v>
                </c:pt>
                <c:pt idx="3">
                  <c:v>7569.2290000000003</c:v>
                </c:pt>
                <c:pt idx="4">
                  <c:v>7756.47</c:v>
                </c:pt>
                <c:pt idx="5">
                  <c:v>7760.4369999999999</c:v>
                </c:pt>
                <c:pt idx="6">
                  <c:v>7884.3249999999998</c:v>
                </c:pt>
                <c:pt idx="7">
                  <c:v>8234.2839999999997</c:v>
                </c:pt>
                <c:pt idx="8">
                  <c:v>8235.2450000000008</c:v>
                </c:pt>
                <c:pt idx="9">
                  <c:v>8241.2569999999996</c:v>
                </c:pt>
                <c:pt idx="10">
                  <c:v>8246.4079999999994</c:v>
                </c:pt>
                <c:pt idx="11">
                  <c:v>8253.3680000000004</c:v>
                </c:pt>
                <c:pt idx="12">
                  <c:v>8255.4230000000007</c:v>
                </c:pt>
                <c:pt idx="13">
                  <c:v>8256.3449999999993</c:v>
                </c:pt>
                <c:pt idx="14">
                  <c:v>8257.3529999999992</c:v>
                </c:pt>
                <c:pt idx="15">
                  <c:v>8275.2659999999996</c:v>
                </c:pt>
                <c:pt idx="16">
                  <c:v>8282.3150000000005</c:v>
                </c:pt>
                <c:pt idx="17">
                  <c:v>8285.3490000000002</c:v>
                </c:pt>
                <c:pt idx="18">
                  <c:v>8301.2649999999994</c:v>
                </c:pt>
                <c:pt idx="19">
                  <c:v>8305.25</c:v>
                </c:pt>
                <c:pt idx="20">
                  <c:v>8304.2579999999998</c:v>
                </c:pt>
                <c:pt idx="21">
                  <c:v>8306.2420000000002</c:v>
                </c:pt>
                <c:pt idx="22">
                  <c:v>8309.2369999999992</c:v>
                </c:pt>
                <c:pt idx="23">
                  <c:v>8310.25</c:v>
                </c:pt>
                <c:pt idx="24">
                  <c:v>8311.241</c:v>
                </c:pt>
                <c:pt idx="25">
                  <c:v>8313.3189999999995</c:v>
                </c:pt>
                <c:pt idx="26">
                  <c:v>8368.1650000000009</c:v>
                </c:pt>
                <c:pt idx="27">
                  <c:v>8371.18</c:v>
                </c:pt>
                <c:pt idx="28">
                  <c:v>8549.2270000000008</c:v>
                </c:pt>
                <c:pt idx="29">
                  <c:v>8877.4380000000001</c:v>
                </c:pt>
                <c:pt idx="30">
                  <c:v>8907.3580000000002</c:v>
                </c:pt>
                <c:pt idx="31">
                  <c:v>8988.3670000000002</c:v>
                </c:pt>
                <c:pt idx="32">
                  <c:v>8991.3979999999992</c:v>
                </c:pt>
                <c:pt idx="33">
                  <c:v>9010.3349999999991</c:v>
                </c:pt>
                <c:pt idx="34">
                  <c:v>9015.2970000000005</c:v>
                </c:pt>
                <c:pt idx="35">
                  <c:v>9050.259</c:v>
                </c:pt>
                <c:pt idx="36">
                  <c:v>9051.2749999999996</c:v>
                </c:pt>
                <c:pt idx="37">
                  <c:v>9257.4220000000005</c:v>
                </c:pt>
                <c:pt idx="38">
                  <c:v>9318.2669999999998</c:v>
                </c:pt>
                <c:pt idx="39">
                  <c:v>9348.3639999999996</c:v>
                </c:pt>
                <c:pt idx="40">
                  <c:v>9349.4349999999995</c:v>
                </c:pt>
                <c:pt idx="41">
                  <c:v>9364.3539999999994</c:v>
                </c:pt>
                <c:pt idx="42">
                  <c:v>9398.3680000000004</c:v>
                </c:pt>
                <c:pt idx="43">
                  <c:v>9401.3080000000009</c:v>
                </c:pt>
                <c:pt idx="44">
                  <c:v>9407.26</c:v>
                </c:pt>
                <c:pt idx="45">
                  <c:v>9469.2099999999991</c:v>
                </c:pt>
                <c:pt idx="46">
                  <c:v>9556.43</c:v>
                </c:pt>
                <c:pt idx="47">
                  <c:v>9557.4069999999992</c:v>
                </c:pt>
                <c:pt idx="48">
                  <c:v>9779.2939999999999</c:v>
                </c:pt>
                <c:pt idx="49">
                  <c:v>9826.1830000000009</c:v>
                </c:pt>
                <c:pt idx="50">
                  <c:v>10033.322</c:v>
                </c:pt>
              </c:numCache>
            </c:numRef>
          </c:xVal>
          <c:yVal>
            <c:numRef>
              <c:f>Sheet2!$E$2:$E$52</c:f>
              <c:numCache>
                <c:formatCode>General</c:formatCode>
                <c:ptCount val="51"/>
                <c:pt idx="0">
                  <c:v>12.071299999999999</c:v>
                </c:pt>
                <c:pt idx="1">
                  <c:v>12.174600000000002</c:v>
                </c:pt>
                <c:pt idx="2">
                  <c:v>12.141999999999999</c:v>
                </c:pt>
                <c:pt idx="3">
                  <c:v>12.1454</c:v>
                </c:pt>
                <c:pt idx="4">
                  <c:v>11.6372</c:v>
                </c:pt>
                <c:pt idx="5">
                  <c:v>11.652199999999999</c:v>
                </c:pt>
                <c:pt idx="6">
                  <c:v>11.784200000000002</c:v>
                </c:pt>
                <c:pt idx="7">
                  <c:v>11.732800000000001</c:v>
                </c:pt>
                <c:pt idx="8">
                  <c:v>11.788199999999998</c:v>
                </c:pt>
                <c:pt idx="9">
                  <c:v>11.779199999999999</c:v>
                </c:pt>
                <c:pt idx="10">
                  <c:v>11.817</c:v>
                </c:pt>
                <c:pt idx="11">
                  <c:v>11.809999999999999</c:v>
                </c:pt>
                <c:pt idx="12">
                  <c:v>11.834999999999999</c:v>
                </c:pt>
                <c:pt idx="13">
                  <c:v>11.807599999999999</c:v>
                </c:pt>
                <c:pt idx="14">
                  <c:v>11.8286</c:v>
                </c:pt>
                <c:pt idx="15">
                  <c:v>11.758199999999999</c:v>
                </c:pt>
                <c:pt idx="16">
                  <c:v>11.783199999999999</c:v>
                </c:pt>
                <c:pt idx="17">
                  <c:v>11.781400000000001</c:v>
                </c:pt>
                <c:pt idx="18">
                  <c:v>11.810599999999999</c:v>
                </c:pt>
                <c:pt idx="19">
                  <c:v>11.795199999999998</c:v>
                </c:pt>
                <c:pt idx="20">
                  <c:v>11.8028</c:v>
                </c:pt>
                <c:pt idx="21">
                  <c:v>11.780199999999999</c:v>
                </c:pt>
                <c:pt idx="22">
                  <c:v>11.834333333333333</c:v>
                </c:pt>
                <c:pt idx="23">
                  <c:v>11.786800000000001</c:v>
                </c:pt>
                <c:pt idx="24">
                  <c:v>11.7964</c:v>
                </c:pt>
                <c:pt idx="25">
                  <c:v>11.781600000000001</c:v>
                </c:pt>
                <c:pt idx="26">
                  <c:v>11.6668</c:v>
                </c:pt>
                <c:pt idx="27">
                  <c:v>11.728199999999999</c:v>
                </c:pt>
                <c:pt idx="28">
                  <c:v>11.833600000000001</c:v>
                </c:pt>
                <c:pt idx="29">
                  <c:v>11.469399999999998</c:v>
                </c:pt>
                <c:pt idx="30">
                  <c:v>11.4625</c:v>
                </c:pt>
                <c:pt idx="31">
                  <c:v>11.490399999999999</c:v>
                </c:pt>
                <c:pt idx="32">
                  <c:v>11.473600000000001</c:v>
                </c:pt>
                <c:pt idx="33">
                  <c:v>11.574200000000001</c:v>
                </c:pt>
                <c:pt idx="34">
                  <c:v>11.6434</c:v>
                </c:pt>
                <c:pt idx="35">
                  <c:v>11.667</c:v>
                </c:pt>
                <c:pt idx="36">
                  <c:v>11.659999999999998</c:v>
                </c:pt>
                <c:pt idx="37">
                  <c:v>11.253</c:v>
                </c:pt>
                <c:pt idx="38">
                  <c:v>11.339</c:v>
                </c:pt>
                <c:pt idx="39">
                  <c:v>11.235250000000001</c:v>
                </c:pt>
                <c:pt idx="40">
                  <c:v>11.2394</c:v>
                </c:pt>
                <c:pt idx="41">
                  <c:v>11.347199999999999</c:v>
                </c:pt>
                <c:pt idx="42">
                  <c:v>11.246</c:v>
                </c:pt>
                <c:pt idx="43">
                  <c:v>11.264666666666665</c:v>
                </c:pt>
                <c:pt idx="44">
                  <c:v>11.300666666666666</c:v>
                </c:pt>
                <c:pt idx="45">
                  <c:v>11.172400000000001</c:v>
                </c:pt>
                <c:pt idx="46">
                  <c:v>11.055333333333332</c:v>
                </c:pt>
                <c:pt idx="47">
                  <c:v>11.12</c:v>
                </c:pt>
                <c:pt idx="48">
                  <c:v>11.483666666666666</c:v>
                </c:pt>
                <c:pt idx="49">
                  <c:v>11.259</c:v>
                </c:pt>
                <c:pt idx="50">
                  <c:v>10.973333333333334</c:v>
                </c:pt>
              </c:numCache>
            </c:numRef>
          </c:yVal>
          <c:smooth val="0"/>
          <c:extLst>
            <c:ext xmlns:c16="http://schemas.microsoft.com/office/drawing/2014/chart" uri="{C3380CC4-5D6E-409C-BE32-E72D297353CC}">
              <c16:uniqueId val="{00000003-BB6A-4198-8CDA-A157225044D8}"/>
            </c:ext>
          </c:extLst>
        </c:ser>
        <c:dLbls>
          <c:showLegendKey val="0"/>
          <c:showVal val="0"/>
          <c:showCatName val="0"/>
          <c:showSerName val="0"/>
          <c:showPercent val="0"/>
          <c:showBubbleSize val="0"/>
        </c:dLbls>
        <c:axId val="1396427776"/>
        <c:axId val="1396428864"/>
      </c:scatterChart>
      <c:valAx>
        <c:axId val="1396427776"/>
        <c:scaling>
          <c:orientation val="minMax"/>
          <c:min val="7500"/>
        </c:scaling>
        <c:delete val="0"/>
        <c:axPos val="b"/>
        <c:title>
          <c:tx>
            <c:rich>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b="1">
                    <a:solidFill>
                      <a:schemeClr val="tx1">
                        <a:lumMod val="85000"/>
                        <a:lumOff val="15000"/>
                      </a:schemeClr>
                    </a:solidFill>
                    <a:latin typeface="Arial" panose="020B0604020202020204" pitchFamily="34" charset="0"/>
                    <a:cs typeface="Arial" panose="020B0604020202020204" pitchFamily="34" charset="0"/>
                  </a:rPr>
                  <a:t>JD 240000+</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az-Latn-AZ"/>
            </a:p>
          </c:txPr>
        </c:title>
        <c:numFmt formatCode="General" sourceLinked="1"/>
        <c:majorTickMark val="in"/>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az-Latn-AZ"/>
          </a:p>
        </c:txPr>
        <c:crossAx val="1396428864"/>
        <c:crosses val="autoZero"/>
        <c:crossBetween val="midCat"/>
        <c:majorUnit val="300"/>
        <c:dispUnits>
          <c:builtInUnit val="thousands"/>
          <c:dispUnitsLbl>
            <c:tx>
              <c:rich>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b="1">
                      <a:solidFill>
                        <a:schemeClr val="tx1">
                          <a:lumMod val="85000"/>
                          <a:lumOff val="15000"/>
                        </a:schemeClr>
                      </a:solidFill>
                      <a:latin typeface="Arial" panose="020B0604020202020204" pitchFamily="34" charset="0"/>
                      <a:cs typeface="Arial" panose="020B0604020202020204" pitchFamily="34" charset="0"/>
                    </a:rPr>
                    <a:t>x10</a:t>
                  </a:r>
                  <a:r>
                    <a:rPr lang="en-US" b="1" baseline="30000">
                      <a:solidFill>
                        <a:schemeClr val="tx1">
                          <a:lumMod val="85000"/>
                          <a:lumOff val="15000"/>
                        </a:schemeClr>
                      </a:solidFill>
                      <a:latin typeface="Arial" panose="020B0604020202020204" pitchFamily="34" charset="0"/>
                      <a:cs typeface="Arial" panose="020B0604020202020204" pitchFamily="34" charset="0"/>
                    </a:rPr>
                    <a:t>4</a:t>
                  </a:r>
                </a:p>
              </c:rich>
            </c:tx>
            <c:spPr>
              <a:noFill/>
              <a:ln>
                <a:noFill/>
              </a:ln>
              <a:effectLst/>
            </c:spPr>
            <c:txPr>
              <a:bodyPr rot="0" spcFirstLastPara="1" vertOverflow="ellipsis" vert="horz" wrap="square" anchor="ctr" anchorCtr="1"/>
              <a:lstStyle/>
              <a:p>
                <a:pPr>
                  <a:defRPr sz="10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az-Latn-AZ"/>
              </a:p>
            </c:txPr>
          </c:dispUnitsLbl>
        </c:dispUnits>
      </c:valAx>
      <c:valAx>
        <c:axId val="1396428864"/>
        <c:scaling>
          <c:orientation val="minMax"/>
          <c:min val="10.5"/>
        </c:scaling>
        <c:delete val="0"/>
        <c:axPos val="l"/>
        <c:title>
          <c:tx>
            <c:rich>
              <a:bodyPr rot="-5400000" spcFirstLastPara="1" vertOverflow="ellipsis" vert="horz" wrap="square" anchor="ctr" anchorCtr="1"/>
              <a:lstStyle/>
              <a:p>
                <a:pPr algn="ct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r>
                  <a:rPr lang="en-US" sz="1000" b="0">
                    <a:solidFill>
                      <a:schemeClr val="tx1">
                        <a:lumMod val="85000"/>
                        <a:lumOff val="15000"/>
                      </a:schemeClr>
                    </a:solidFill>
                    <a:latin typeface="Arial" panose="020B0604020202020204" pitchFamily="34" charset="0"/>
                    <a:cs typeface="Arial" panose="020B0604020202020204" pitchFamily="34" charset="0"/>
                  </a:rPr>
                  <a:t>mag</a:t>
                </a:r>
              </a:p>
            </c:rich>
          </c:tx>
          <c:overlay val="0"/>
          <c:spPr>
            <a:noFill/>
            <a:ln>
              <a:noFill/>
            </a:ln>
            <a:effectLst/>
          </c:spPr>
          <c:txPr>
            <a:bodyPr rot="-5400000" spcFirstLastPara="1" vertOverflow="ellipsis" vert="horz" wrap="square" anchor="ctr" anchorCtr="1"/>
            <a:lstStyle/>
            <a:p>
              <a:pPr algn="ctr">
                <a:defRPr sz="1000" b="0"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az-Latn-AZ"/>
            </a:p>
          </c:txPr>
        </c:title>
        <c:numFmt formatCode="General" sourceLinked="1"/>
        <c:majorTickMark val="in"/>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az-Latn-AZ"/>
          </a:p>
        </c:txPr>
        <c:crossAx val="1396427776"/>
        <c:crossesAt val="7500"/>
        <c:crossBetween val="midCat"/>
      </c:valAx>
      <c:spPr>
        <a:noFill/>
        <a:ln w="12700" cap="sq" cmpd="thickThin">
          <a:solidFill>
            <a:schemeClr val="tx1"/>
          </a:solidFill>
          <a:miter lim="800000"/>
        </a:ln>
        <a:effectLst/>
      </c:spPr>
    </c:plotArea>
    <c:legend>
      <c:legendPos val="l"/>
      <c:layout>
        <c:manualLayout>
          <c:xMode val="edge"/>
          <c:yMode val="edge"/>
          <c:x val="0.82495667244367421"/>
          <c:y val="7.0392396602598592E-2"/>
          <c:w val="0.11901799969977757"/>
          <c:h val="0.26417436950815931"/>
        </c:manualLayout>
      </c:layout>
      <c:overlay val="0"/>
      <c:spPr>
        <a:noFill/>
        <a:ln cmpd="sng">
          <a:solidFill>
            <a:schemeClr val="tx1">
              <a:lumMod val="25000"/>
              <a:lumOff val="75000"/>
            </a:schemeClr>
          </a:solidFill>
        </a:ln>
        <a:effectLst/>
      </c:spPr>
      <c:txPr>
        <a:bodyPr rot="0" spcFirstLastPara="1" vertOverflow="ellipsis" vert="horz" wrap="square" anchor="ctr" anchorCtr="1"/>
        <a:lstStyle/>
        <a:p>
          <a:pPr>
            <a:defRPr sz="900" b="1" i="0" u="none" strike="noStrike" kern="1200" baseline="0">
              <a:solidFill>
                <a:schemeClr val="tx1">
                  <a:lumMod val="85000"/>
                  <a:lumOff val="15000"/>
                </a:schemeClr>
              </a:solidFill>
              <a:latin typeface="Arial" panose="020B0604020202020204" pitchFamily="34" charset="0"/>
              <a:ea typeface="+mn-ea"/>
              <a:cs typeface="Arial" panose="020B0604020202020204" pitchFamily="34" charset="0"/>
            </a:defRPr>
          </a:pPr>
          <a:endParaRPr lang="az-Latn-AZ"/>
        </a:p>
      </c:txPr>
    </c:legend>
    <c:plotVisOnly val="1"/>
    <c:dispBlanksAs val="gap"/>
    <c:showDLblsOverMax val="0"/>
  </c:chart>
  <c:spPr>
    <a:solidFill>
      <a:schemeClr val="bg1"/>
    </a:solidFill>
    <a:ln w="9525" cap="sq" cmpd="thinThick" algn="ctr">
      <a:solidFill>
        <a:schemeClr val="tx1">
          <a:lumMod val="15000"/>
          <a:lumOff val="85000"/>
        </a:schemeClr>
      </a:solidFill>
      <a:round/>
    </a:ln>
    <a:effectLst/>
  </c:spPr>
  <c:txPr>
    <a:bodyPr/>
    <a:lstStyle/>
    <a:p>
      <a:pPr>
        <a:defRPr/>
      </a:pPr>
      <a:endParaRPr lang="az-Latn-A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Pages>
  <Words>2961</Words>
  <Characters>1689</Characters>
  <Application>Microsoft Office Word</Application>
  <DocSecurity>0</DocSecurity>
  <Lines>14</Lines>
  <Paragraphs>9</Paragraphs>
  <ScaleCrop>false</ScaleCrop>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5577</dc:creator>
  <cp:keywords/>
  <dc:description/>
  <cp:lastModifiedBy>5577</cp:lastModifiedBy>
  <cp:revision>4</cp:revision>
  <dcterms:created xsi:type="dcterms:W3CDTF">2025-03-03T07:27:00Z</dcterms:created>
  <dcterms:modified xsi:type="dcterms:W3CDTF">2025-03-03T07:34:00Z</dcterms:modified>
</cp:coreProperties>
</file>