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64" w:leader="none"/>
        </w:tabs>
        <w:ind w:firstLine="426" w:end="0"/>
        <w:jc w:val="center"/>
        <w:rPr>
          <w:lang w:val="ru-RU" w:bidi="ar-SA"/>
        </w:rPr>
      </w:pPr>
      <w:r>
        <w:rPr>
          <w:b/>
          <w:bCs/>
          <w:color w:val="000000"/>
          <w:shd w:fill="FFFFFF" w:val="clear"/>
          <w:lang w:val="ru-RU" w:bidi="ar-SA"/>
        </w:rPr>
        <w:t>Эволюция нейтронных звезд в широк</w:t>
      </w:r>
      <w:r>
        <w:rPr>
          <w:b/>
          <w:bCs/>
          <w:color w:val="000000"/>
          <w:shd w:fill="FFFFFF" w:val="clear"/>
          <w:lang w:val="ru-RU" w:bidi="ar-SA"/>
        </w:rPr>
        <w:t>их</w:t>
      </w:r>
      <w:r>
        <w:rPr>
          <w:b/>
          <w:bCs/>
          <w:color w:val="000000"/>
          <w:shd w:fill="FFFFFF" w:val="clear"/>
          <w:lang w:val="ru-RU" w:bidi="ar-SA"/>
        </w:rPr>
        <w:t xml:space="preserve"> маломассивных двойных системах</w:t>
      </w:r>
    </w:p>
    <w:p>
      <w:pPr>
        <w:pStyle w:val="Normal"/>
        <w:ind w:firstLine="426" w:end="0"/>
        <w:jc w:val="center"/>
        <w:rPr/>
      </w:pPr>
      <w:r>
        <w:rPr>
          <w:rStyle w:val="Emphasis"/>
          <w:b/>
          <w:bCs/>
          <w:color w:val="000000"/>
          <w:shd w:fill="FFFFFF" w:val="clear"/>
          <w:lang w:val="ru-RU" w:bidi="ar-SA"/>
        </w:rPr>
        <w:t>Афонина М.Д.</w:t>
      </w:r>
      <w:r>
        <w:rPr>
          <w:rStyle w:val="Emphasis"/>
          <w:b/>
          <w:bCs/>
          <w:i w:val="false"/>
          <w:color w:val="000000"/>
          <w:shd w:fill="FFFFFF" w:val="clear"/>
          <w:vertAlign w:val="superscript"/>
          <w:lang w:val="ru-RU" w:bidi="ar-SA"/>
        </w:rPr>
        <w:t>1</w:t>
      </w:r>
    </w:p>
    <w:p>
      <w:pPr>
        <w:pStyle w:val="Normal"/>
        <w:ind w:firstLine="426" w:end="0"/>
        <w:jc w:val="center"/>
        <w:rPr/>
      </w:pPr>
      <w:r>
        <w:rPr>
          <w:rStyle w:val="Emphasis"/>
          <w:bCs/>
          <w:i w:val="false"/>
          <w:color w:val="000000"/>
          <w:shd w:fill="FFFFFF" w:val="clear"/>
          <w:vertAlign w:val="superscript"/>
          <w:lang w:val="ru-RU" w:bidi="ar-SA"/>
        </w:rPr>
        <w:t>1</w:t>
      </w:r>
      <w:r>
        <w:rPr>
          <w:rStyle w:val="Emphasis"/>
          <w:color w:val="000000"/>
          <w:shd w:fill="FFFFFF" w:val="clear"/>
          <w:lang w:val="ru-RU" w:bidi="ar-SA"/>
        </w:rPr>
        <w:t>студент</w:t>
      </w:r>
    </w:p>
    <w:p>
      <w:pPr>
        <w:pStyle w:val="Normal"/>
        <w:spacing w:before="0" w:after="200"/>
        <w:ind w:firstLine="426" w:end="0"/>
        <w:jc w:val="center"/>
        <w:rPr/>
      </w:pPr>
      <w:r>
        <w:rPr>
          <w:rStyle w:val="Emphasis"/>
          <w:color w:val="000000"/>
          <w:shd w:fill="FFFFFF" w:val="clear"/>
          <w:lang w:val="ru-RU" w:bidi="ar-SA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fill="FFFFFF" w:val="clear"/>
          <w:lang w:val="ru-RU" w:bidi="ar-SA"/>
        </w:rPr>
        <w:t> </w:t>
      </w:r>
      <w:r>
        <w:rPr>
          <w:i/>
          <w:iCs/>
          <w:color w:val="000000"/>
          <w:shd w:fill="FFFFFF" w:val="clear"/>
          <w:lang w:val="ru-RU" w:bidi="ar-SA"/>
        </w:rPr>
        <w:br/>
      </w:r>
      <w:r>
        <w:rPr>
          <w:rStyle w:val="Emphasis"/>
          <w:color w:val="000000"/>
          <w:shd w:fill="FFFFFF" w:val="clear"/>
          <w:lang w:val="ru-RU" w:bidi="ar-SA"/>
        </w:rPr>
        <w:t>физический факультет, Москва, Россия</w:t>
      </w:r>
      <w:r>
        <w:rPr>
          <w:i/>
          <w:iCs/>
          <w:color w:val="000000"/>
          <w:shd w:fill="FFFFFF" w:val="clear"/>
          <w:lang w:val="ru-RU" w:bidi="ar-SA"/>
        </w:rPr>
        <w:br/>
      </w:r>
      <w:r>
        <w:rPr>
          <w:rStyle w:val="Emphasis"/>
          <w:color w:val="000000"/>
          <w:shd w:fill="FFFFFF" w:val="clear"/>
          <w:lang w:val="ru-RU" w:bidi="ar-SA"/>
        </w:rPr>
        <w:t>E–mail</w:t>
      </w:r>
      <w:r>
        <w:rPr>
          <w:rStyle w:val="Emphasis"/>
          <w:i w:val="false"/>
          <w:color w:val="000000"/>
          <w:shd w:fill="FFFFFF" w:val="clear"/>
          <w:lang w:val="ru-RU" w:bidi="ar-SA"/>
        </w:rPr>
        <w:t xml:space="preserve">: </w:t>
      </w:r>
      <w:r>
        <w:rPr>
          <w:rStyle w:val="Emphasis"/>
          <w:i w:val="false"/>
          <w:color w:val="000000"/>
          <w:shd w:fill="FFFFFF" w:val="clear"/>
          <w:lang w:val="ru-RU" w:bidi="ar-SA"/>
        </w:rPr>
        <w:t>afonina.md19@physics.msu.ru</w:t>
      </w:r>
    </w:p>
    <w:p>
      <w:pPr>
        <w:pStyle w:val="Normal"/>
        <w:ind w:firstLine="397" w:end="0"/>
        <w:jc w:val="both"/>
        <w:rPr>
          <w:lang w:val="ru-RU" w:bidi="ar-SA"/>
        </w:rPr>
      </w:pPr>
      <w:r>
        <w:rPr>
          <w:lang w:val="ru-RU" w:bidi="ar-SA"/>
        </w:rPr>
        <w:t xml:space="preserve">Точные астрометрические измерения с помощью спутника Gaia привели к открытию десятков широких двойных систем, состоящих из звезды, подобной Солнцу, и невидимого компонента. Последний может быть белым карликом, нейтронной звездой или черной дырой. Примеры таких систем можно найти в работах El-Badry et al. (2024); Sbarufatti et al. (2024). В данной работе мы моделируем магнитовращательную эволюцию нейтронных звезд в широких маломассивных двойных системах с учетом эксцентриситета орбиты. </w:t>
      </w:r>
      <w:r>
        <w:rPr>
          <w:lang w:val="ru-RU" w:bidi="ar-SA"/>
        </w:rPr>
        <w:t>Цель данной работы</w:t>
      </w:r>
      <w:r>
        <w:rPr>
          <w:lang w:val="ru-RU" w:bidi="ar-SA"/>
        </w:rPr>
        <w:t xml:space="preserve"> — вычислить, </w:t>
      </w:r>
      <w:r>
        <w:rPr>
          <w:lang w:val="ru-RU" w:bidi="ar-SA"/>
        </w:rPr>
        <w:t>при каких параметрах</w:t>
      </w:r>
      <w:r>
        <w:rPr>
          <w:lang w:val="ru-RU" w:bidi="ar-SA"/>
        </w:rPr>
        <w:t xml:space="preserve"> нейтронные звезды в таких системах могут начать аккрецию вещества из звездного ветра компаньона, пока он все еще находится на Главной последовательности (примерно 10 миллиардов лет), поскольку потенциально в этом случае можно обнаружить электромагнитное излучение от компактного объекта. </w:t>
      </w:r>
    </w:p>
    <w:p>
      <w:pPr>
        <w:pStyle w:val="Normal"/>
        <w:ind w:firstLine="397" w:end="0"/>
        <w:jc w:val="both"/>
        <w:rPr>
          <w:lang w:val="ru-RU" w:bidi="ar-SA"/>
        </w:rPr>
      </w:pPr>
      <w:r>
        <w:rPr>
          <w:lang w:val="ru-RU" w:bidi="ar-SA"/>
        </w:rPr>
        <w:t>Расчеты показывают, что нейтронные звезды с магнитном полем 𝐵 ≲ 10</w:t>
      </w:r>
      <w:r>
        <w:rPr>
          <w:vertAlign w:val="superscript"/>
          <w:lang w:val="ru-RU" w:bidi="ar-SA"/>
        </w:rPr>
        <w:t>12</w:t>
      </w:r>
      <w:r>
        <w:rPr>
          <w:lang w:val="ru-RU" w:bidi="ar-SA"/>
        </w:rPr>
        <w:t xml:space="preserve"> Гс на круговых орбитах с большой полуосью 𝑎 ≳ 1 а.е. не достигают стадии пропеллера, которая обычно предшествует стадии аккреции. </w:t>
      </w:r>
      <w:r>
        <w:rPr>
          <w:lang w:val="ru-RU" w:bidi="ar-SA"/>
        </w:rPr>
        <w:t>П</w:t>
      </w:r>
      <w:r>
        <w:rPr>
          <w:lang w:val="ru-RU" w:bidi="ar-SA"/>
        </w:rPr>
        <w:t>ри достижении стадии пропеллера эволюция нейтронной звезды определяется эффективностью замедления вращения на этой стадии. Так, в зависимости от этой эффективности нейтронная звезда может начать аккрецировать звездный ветер или провести длительное время на стадии пропеллера.</w:t>
      </w:r>
    </w:p>
    <w:p>
      <w:pPr>
        <w:pStyle w:val="Normal"/>
        <w:ind w:firstLine="397" w:end="0"/>
        <w:jc w:val="both"/>
        <w:rPr>
          <w:lang w:val="ru-RU" w:bidi="ar-SA"/>
        </w:rPr>
      </w:pPr>
      <w:r>
        <w:rPr>
          <w:lang w:val="ru-RU" w:bidi="ar-SA"/>
        </w:rPr>
        <w:t>Переход от стадии эжектора к стадии пропеллера происходит раньше в более эксцентричных системах. Таким образом, увеличивается время, которое нейтронные звезды могут аккрецировать звездный ветер. В случае эффективного замедления вращения на стадии пропеллера нейтронная звезда на эксцентричной орбите с e ≳ 0,6 и стандартным магнитным полем B = 10</w:t>
      </w:r>
      <w:r>
        <w:rPr>
          <w:vertAlign w:val="superscript"/>
          <w:lang w:val="ru-RU" w:bidi="ar-SA"/>
        </w:rPr>
        <w:t xml:space="preserve">12 </w:t>
      </w:r>
      <w:r>
        <w:rPr>
          <w:lang w:val="ru-RU" w:bidi="ar-SA"/>
        </w:rPr>
        <w:t>Гс может начать аккрецировать в течение нескольких миллиардов лет. Для нейтронных звезд с B = 10</w:t>
      </w:r>
      <w:r>
        <w:rPr>
          <w:vertAlign w:val="superscript"/>
          <w:lang w:val="ru-RU" w:bidi="ar-SA"/>
        </w:rPr>
        <w:t>1</w:t>
      </w:r>
      <w:r>
        <w:rPr>
          <w:vertAlign w:val="superscript"/>
          <w:lang w:val="ru-RU" w:bidi="ar-SA"/>
        </w:rPr>
        <w:t>3</w:t>
      </w:r>
      <w:r>
        <w:rPr>
          <w:lang w:val="ru-RU" w:bidi="ar-SA"/>
        </w:rPr>
        <w:t xml:space="preserve"> Гс начало аккреции происходит раньше независимо от эксцентриситета орбиты. Как и в случае с круговыми орбитами, при низком темпе замедления вращения на стадии пропеллера нейтронная звезда может оставаться на этой стадии большую часть своей жизни.</w:t>
      </w:r>
    </w:p>
    <w:p>
      <w:pPr>
        <w:pStyle w:val="Normal"/>
        <w:ind w:firstLine="397" w:end="0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ind w:firstLine="426" w:end="0"/>
        <w:jc w:val="center"/>
        <w:rPr>
          <w:b/>
        </w:rPr>
      </w:pPr>
      <w:r>
        <w:rPr>
          <w:b/>
          <w:color w:val="000000"/>
          <w:shd w:fill="FFFFFF" w:val="clear"/>
          <w:lang w:val="ru-RU" w:bidi="ar-SA"/>
        </w:rPr>
        <w:t>Литература</w:t>
      </w:r>
    </w:p>
    <w:p>
      <w:pPr>
        <w:pStyle w:val="Style20"/>
        <w:numPr>
          <w:ilvl w:val="0"/>
          <w:numId w:val="0"/>
        </w:numPr>
        <w:ind w:hanging="0" w:start="709" w:end="0"/>
        <w:rPr>
          <w:lang w:val="en-US" w:bidi="ar-SA"/>
        </w:rPr>
      </w:pPr>
      <w:r>
        <w:rPr>
          <w:lang w:val="en-US" w:bidi="ar-SA"/>
        </w:rPr>
      </w:r>
    </w:p>
    <w:p>
      <w:pPr>
        <w:pStyle w:val="Style20"/>
        <w:numPr>
          <w:ilvl w:val="0"/>
          <w:numId w:val="2"/>
        </w:numPr>
        <w:ind w:hanging="283" w:start="709" w:end="0"/>
        <w:rPr>
          <w:i w:val="false"/>
          <w:i w:val="false"/>
          <w:iCs w:val="false"/>
          <w:szCs w:val="20"/>
          <w:lang w:val="en-US" w:bidi="ar-SA"/>
        </w:rPr>
      </w:pPr>
      <w:r>
        <w:rPr>
          <w:i w:val="false"/>
          <w:iCs w:val="false"/>
          <w:szCs w:val="20"/>
          <w:lang w:val="en-US" w:bidi="ar-SA"/>
        </w:rPr>
        <w:t>El-Badry, K., Rix, H.W., Latham, D.W., Shahaf, S., Mazeh, T., Bieryla, A., Buchhave, L.A., Andrae, R., Yamaguchi, N., Isaacson, H., Howard, A.W., Savino, A., Ilyin, I.V. A population of neutron star candidates in wide orbits from Gaia astrometry // The Open Journal of Astrophysics 2024. 7, 58.</w:t>
      </w:r>
    </w:p>
    <w:p>
      <w:pPr>
        <w:pStyle w:val="Style20"/>
        <w:numPr>
          <w:ilvl w:val="0"/>
          <w:numId w:val="2"/>
        </w:numPr>
        <w:ind w:hanging="283" w:start="709" w:end="0"/>
        <w:rPr>
          <w:i w:val="false"/>
          <w:i w:val="false"/>
          <w:iCs w:val="false"/>
          <w:szCs w:val="20"/>
          <w:lang w:val="en-US" w:bidi="ar-SA"/>
        </w:rPr>
      </w:pPr>
      <w:r>
        <w:rPr>
          <w:i w:val="false"/>
          <w:iCs w:val="false"/>
          <w:szCs w:val="20"/>
          <w:lang w:val="en-US" w:bidi="ar-SA"/>
        </w:rPr>
        <w:t>Sbarufatti, B., Coti Zelati, F., Marino, A., Mereghetti, S., Rea, N., Treves, A. Swift X-ray and UV observations of six Gaia binaries supposedly containing a neutron star // A&amp;A 2024. 686, A299. arXiv:2404.16170.</w:t>
      </w:r>
    </w:p>
    <w:sectPr>
      <w:footerReference w:type="default" r:id="rId2"/>
      <w:type w:val="nextPage"/>
      <w:pgSz w:w="11906" w:h="16838"/>
      <w:pgMar w:left="1361" w:right="1361" w:gutter="0" w:header="0" w:top="1134" w:footer="709" w:bottom="124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Tahoma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928" w:hanging="360"/>
      </w:pPr>
      <w:rPr>
        <w:i w:val="fals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pageBreakBefore/>
      <w:numPr>
        <w:ilvl w:val="1"/>
        <w:numId w:val="1"/>
      </w:numPr>
      <w:spacing w:lineRule="auto" w:line="360" w:before="0" w:after="120"/>
      <w:ind w:firstLine="709" w:start="0" w:end="0"/>
      <w:jc w:val="center"/>
      <w:outlineLvl w:val="1"/>
    </w:pPr>
    <w:rPr>
      <w:b/>
      <w:bCs/>
      <w:iCs/>
      <w:sz w:val="28"/>
      <w:szCs w:val="28"/>
    </w:rPr>
  </w:style>
  <w:style w:type="character" w:styleId="WW8Num1z0">
    <w:name w:val="WW8Num1z0"/>
    <w:qFormat/>
    <w:rPr>
      <w:i w:val="false"/>
    </w:rPr>
  </w:style>
  <w:style w:type="character" w:styleId="WW8Num2z0">
    <w:name w:val="WW8Num2z0"/>
    <w:qFormat/>
    <w:rPr>
      <w:i w:val="false"/>
    </w:rPr>
  </w:style>
  <w:style w:type="character" w:styleId="WW8Num3z0">
    <w:name w:val="WW8Num3z0"/>
    <w:qFormat/>
    <w:rPr/>
  </w:style>
  <w:style w:type="character" w:styleId="WW8Num5z0">
    <w:name w:val="WW8Num5z0"/>
    <w:qFormat/>
    <w:rPr>
      <w:b w:val="false"/>
      <w:color w:val="000000"/>
    </w:rPr>
  </w:style>
  <w:style w:type="character" w:styleId="Style13">
    <w:name w:val="Основной шрифт абзаца"/>
    <w:qFormat/>
    <w:rPr/>
  </w:style>
  <w:style w:type="character" w:styleId="Emphasis">
    <w:name w:val="Emphasis"/>
    <w:qFormat/>
    <w:rPr>
      <w:i/>
      <w:iCs/>
    </w:rPr>
  </w:style>
  <w:style w:type="character" w:styleId="apple-converted-space">
    <w:name w:val="apple-converted-space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4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styleId="2">
    <w:name w:val="Заголовок 2 Знак"/>
    <w:qFormat/>
    <w:rPr>
      <w:b/>
      <w:bCs/>
      <w:iCs/>
      <w:sz w:val="28"/>
      <w:szCs w:val="28"/>
      <w:lang w:val="ru-RU" w:bidi="ar-SA"/>
    </w:rPr>
  </w:style>
  <w:style w:type="character" w:styleId="PageNumber">
    <w:name w:val="Page Number"/>
    <w:basedOn w:val="Style13"/>
    <w:rPr/>
  </w:style>
  <w:style w:type="character" w:styleId="Style15">
    <w:name w:val="Замещающий текст"/>
    <w:qFormat/>
    <w:rPr>
      <w:color w:val="808080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Верхний колонтитул Знак"/>
    <w:basedOn w:val="Style13"/>
    <w:qFormat/>
    <w:rPr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Style18">
    <w:name w:val="Без интервала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/>
    <w:rPr/>
  </w:style>
  <w:style w:type="paragraph" w:styleId="Style20">
    <w:name w:val="Абзац списка"/>
    <w:basedOn w:val="Normal"/>
    <w:qFormat/>
    <w:pPr>
      <w:spacing w:before="0" w:after="0"/>
      <w:ind w:hanging="0" w:start="720" w:end="0"/>
      <w:contextualSpacing/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LibreOffice/24.2.5.2$Linux_X86_64 LibreOffice_project/bffef4ea93e59bebbeaf7f431bb02b1a39ee8a59</Application>
  <AppVersion>15.0000</AppVersion>
  <Pages>1</Pages>
  <Words>379</Words>
  <Characters>2372</Characters>
  <CharactersWithSpaces>2741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2018-02-06T10:23:00Z</dcterms:created>
  <dc:creator>PR</dc:creator>
  <dc:description/>
  <dc:language>en-US</dc:language>
  <cp:lastModifiedBy/>
  <dcterms:modified xsi:type="dcterms:W3CDTF">2025-03-08T00:24:45Z</dcterms:modified>
  <cp:revision>4</cp:revision>
  <dc:subject/>
  <dc:title>Особенности акустического поля мощных фазированных решеток для неинвазивной ультразвуковой хирургии</dc:title>
</cp:coreProperties>
</file>