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keepNext w:val="true"/>
        <w:keepLines/>
        <w:suppressAutoHyphens w:val="true"/>
        <w:spacing w:before="160" w:after="60"/>
        <w:ind w:hanging="0"/>
        <w:jc w:val="center"/>
        <w:rPr/>
      </w:pPr>
      <w:r>
        <w:rPr/>
        <w:t>Исследование параметров жидкого сцинтиллятора</w:t>
      </w:r>
      <w:r>
        <w:rPr>
          <w:b/>
          <w:bCs/>
          <w:i w:val="false"/>
          <w:iCs w:val="false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на основе линейного алкилбензола и додекана</w:t>
      </w:r>
    </w:p>
    <w:p>
      <w:pPr>
        <w:pStyle w:val="Style14"/>
        <w:rPr>
          <w:lang w:val="ru-RU"/>
        </w:rPr>
      </w:pPr>
      <w:bookmarkStart w:id="0" w:name="_Toc171046642"/>
      <w:r>
        <w:rPr>
          <w:lang w:val="ru-RU"/>
        </w:rPr>
        <w:t xml:space="preserve"> </w:t>
      </w:r>
      <w:r>
        <w:rPr>
          <w:lang w:val="ru-RU"/>
        </w:rPr>
        <w:t xml:space="preserve">Будзинская </w:t>
      </w:r>
      <w:r>
        <w:rPr>
          <w:lang w:val="ru-RU"/>
        </w:rPr>
        <w:t>А.А.</w:t>
      </w:r>
      <w:r>
        <w:rPr>
          <w:i w:val="false"/>
          <w:vertAlign w:val="superscript"/>
          <w:lang w:val="ru-RU"/>
        </w:rPr>
        <w:t>1,2</w:t>
      </w:r>
      <w:bookmarkEnd w:id="0"/>
    </w:p>
    <w:p>
      <w:pPr>
        <w:pStyle w:val="Style15"/>
        <w:spacing w:lineRule="auto" w:line="240"/>
        <w:rPr>
          <w:i/>
          <w:i/>
          <w:iCs/>
          <w:position w:val="0"/>
          <w:sz w:val="24"/>
          <w:sz w:val="24"/>
          <w:szCs w:val="24"/>
          <w:vertAlign w:val="baseline"/>
        </w:rPr>
      </w:pPr>
      <w:r>
        <w:rPr>
          <w:i/>
          <w:iCs/>
          <w:position w:val="0"/>
          <w:sz w:val="24"/>
          <w:sz w:val="24"/>
          <w:szCs w:val="24"/>
          <w:vertAlign w:val="baseline"/>
        </w:rPr>
        <w:t>Студент</w:t>
      </w:r>
    </w:p>
    <w:p>
      <w:pPr>
        <w:pStyle w:val="Style15"/>
        <w:spacing w:lineRule="auto" w:line="240"/>
        <w:rPr>
          <w:i/>
          <w:i/>
          <w:iCs/>
          <w:position w:val="0"/>
          <w:sz w:val="24"/>
          <w:sz w:val="24"/>
          <w:szCs w:val="24"/>
          <w:vertAlign w:val="baseline"/>
        </w:rPr>
      </w:pPr>
      <w:r>
        <w:rPr>
          <w:i/>
          <w:iCs/>
          <w:position w:val="0"/>
          <w:sz w:val="24"/>
          <w:sz w:val="24"/>
          <w:szCs w:val="24"/>
          <w:vertAlign w:val="baseline"/>
        </w:rPr>
      </w:r>
    </w:p>
    <w:p>
      <w:pPr>
        <w:pStyle w:val="Style15"/>
        <w:spacing w:lineRule="auto" w:line="240"/>
        <w:rPr/>
      </w:pP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 xml:space="preserve">Московский физико-технический институт (национальный исследовательский университет), </w:t>
      </w:r>
      <w:r>
        <w:rPr>
          <w:i/>
          <w:iCs/>
          <w:color w:val="000000"/>
          <w:sz w:val="24"/>
          <w:szCs w:val="24"/>
          <w:u w:val="none"/>
        </w:rPr>
        <w:t xml:space="preserve">Физтех-школа физики и исследований им. Ландау, </w:t>
      </w:r>
      <w:r>
        <w:rPr>
          <w:rFonts w:cs="Times New Roman"/>
          <w:i/>
          <w:iCs/>
          <w:color w:val="000000"/>
          <w:sz w:val="24"/>
          <w:szCs w:val="24"/>
          <w:u w:val="none"/>
        </w:rPr>
        <w:t>Москва, Росси</w:t>
      </w:r>
      <w:r>
        <w:rPr>
          <w:rFonts w:cs="Times New Roman"/>
          <w:i/>
          <w:iCs/>
          <w:color w:val="000000"/>
          <w:sz w:val="24"/>
          <w:szCs w:val="24"/>
          <w:u w:val="none"/>
        </w:rPr>
        <w:t>я</w:t>
      </w:r>
      <w:r>
        <w:rPr>
          <w:i/>
          <w:iCs/>
          <w:sz w:val="24"/>
          <w:szCs w:val="24"/>
        </w:rPr>
        <w:t xml:space="preserve">   </w:t>
      </w:r>
    </w:p>
    <w:p>
      <w:pPr>
        <w:pStyle w:val="Style15"/>
        <w:spacing w:lineRule="auto" w:line="240"/>
        <w:rPr/>
      </w:pPr>
      <w:r>
        <w:rPr>
          <w:i/>
          <w:iCs/>
          <w:sz w:val="24"/>
          <w:szCs w:val="24"/>
        </w:rPr>
        <w:t xml:space="preserve">                                                                                       </w:t>
      </w:r>
    </w:p>
    <w:p>
      <w:pPr>
        <w:pStyle w:val="Style15"/>
        <w:spacing w:lineRule="auto" w:line="24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Институт ядерных исследований РАН, </w:t>
      </w:r>
      <w:r>
        <w:rPr>
          <w:rStyle w:val="Hyperlink"/>
          <w:rFonts w:cs="Times New Roman"/>
          <w:i/>
          <w:iCs/>
          <w:color w:val="000000"/>
          <w:sz w:val="24"/>
          <w:szCs w:val="24"/>
          <w:u w:val="none"/>
          <w:lang w:val="en-US"/>
        </w:rPr>
        <w:t>Москва, Россия</w:t>
      </w:r>
    </w:p>
    <w:p>
      <w:pPr>
        <w:pStyle w:val="Style15"/>
        <w:spacing w:lineRule="auto" w:line="240"/>
        <w:rPr>
          <w:rStyle w:val="Hyperlink"/>
          <w:rFonts w:ascii="Times New Roman" w:hAnsi="Times New Roman" w:cs="Times New Roman"/>
          <w:color w:val="000000"/>
          <w:u w:val="none"/>
          <w:lang w:val="en-US"/>
        </w:rPr>
      </w:pPr>
      <w:r>
        <w:rPr>
          <w:i/>
          <w:iCs/>
          <w:sz w:val="24"/>
          <w:szCs w:val="24"/>
        </w:rPr>
      </w:r>
    </w:p>
    <w:p>
      <w:pPr>
        <w:pStyle w:val="Style15"/>
        <w:spacing w:lineRule="auto" w:line="240"/>
        <w:rPr>
          <w:i/>
          <w:i/>
          <w:iCs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  <w:u w:val="none"/>
          <w:lang w:val="en-US"/>
        </w:rPr>
        <w:t xml:space="preserve">E-mail: </w:t>
      </w:r>
      <w:hyperlink r:id="rId2">
        <w:r>
          <w:rPr>
            <w:rStyle w:val="Hyperlink"/>
            <w:rFonts w:cs="Times New Roman"/>
            <w:i/>
            <w:iCs/>
            <w:sz w:val="24"/>
            <w:szCs w:val="24"/>
            <w:lang w:val="en-US"/>
          </w:rPr>
          <w:t>budsinskaya.n@mail.ru</w:t>
        </w:r>
      </w:hyperlink>
    </w:p>
    <w:p>
      <w:pPr>
        <w:pStyle w:val="Style15"/>
        <w:rPr/>
      </w:pPr>
      <w:r>
        <w:rPr/>
        <w:t xml:space="preserve">                                                                                           </w:t>
      </w:r>
    </w:p>
    <w:p>
      <w:pPr>
        <w:pStyle w:val="Normal"/>
        <w:spacing w:lineRule="auto" w:line="240"/>
        <w:ind w:hanging="0"/>
        <w:rPr/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Детекторы на основе жидких сцинтилляторов широко используются для эффективной регистрации и определения свойств нейтрино в таких реакторных и астрофизических экспериментах, как KamLAND [1], Borexino [2], Daya Bay [3], RENO [4], and Double Chooz [5]. </w:t>
      </w:r>
    </w:p>
    <w:p>
      <w:pPr>
        <w:pStyle w:val="Normal"/>
        <w:spacing w:lineRule="auto" w:line="240"/>
        <w:ind w:hanging="0"/>
        <w:rPr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ab/>
      </w:r>
      <w:r>
        <w:rPr>
          <w:sz w:val="24"/>
          <w:szCs w:val="24"/>
          <w:shd w:fill="auto" w:val="clear"/>
        </w:rPr>
        <w:t>Для</w:t>
      </w:r>
      <w:r>
        <w:rPr>
          <w:sz w:val="24"/>
          <w:szCs w:val="24"/>
        </w:rPr>
        <w:t xml:space="preserve"> регистрации нейтринных событий с помощью фотоэлектронных умножителей в детекторах такого типа необходимо выполнение нескольких условий: во-первых,  спектр излучения сцинтиллятора должен совпадать с областью, в которой фотоэлектронные умножители имеют наибольшую квантовую эффективность, во-вторых, сцинтиллятор должен иметь высокий световыход и позволять детектировать события с хорошим временным разрешением, которое можно определить из анализа кинетики высвечивания сцинтиллятора, в-третьих, важную роль играет прозрачность оптической среды к собственному излучению сцинтиллятора, в особенности с увеличением размеров детектора.                                                    </w:t>
      </w:r>
    </w:p>
    <w:p>
      <w:pPr>
        <w:pStyle w:val="Normal"/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Линейный алкилбензол (ЛАБ) относится к углеводородам ароматического ряда и часто используется в качестве основы для жидкого сцинтиллятора, в то время как додекан, относящийся к парафинам, обладает большей прозрачностью, что послужило мотивацией к исследованию параметров смесей, содержащих ЛАБ и додекан в различных пропорциях, для поиска сцинтиллятора с оптимальным соотношением параметров. В качестве первичной сцинтилляционной добавки использовался хорошо зарекомендовавший себя PPO (2,5-дефинилоксазол). Измерения показали, что оптимальная концентрация PPO — 2 г/л.</w:t>
      </w:r>
    </w:p>
    <w:p>
      <w:pPr>
        <w:pStyle w:val="Normal"/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данной работе исследованы световыход, кинетика высвечивания жидкого сцинтиллятора на основе смесей ЛАБ и додекана с добавлением первичной сцинтилляционной добавки PPO, а также измерены быстрая и медленная компоненты излучения и  соответствующий вклад в световыход, получен спектр пропускания смесей.</w:t>
      </w:r>
    </w:p>
    <w:p>
      <w:pPr>
        <w:pStyle w:val="Normal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>
      <w:pPr>
        <w:pStyle w:val="Style19"/>
        <w:numPr>
          <w:ilvl w:val="0"/>
          <w:numId w:val="10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KamLAND collaboration, Reactor On-Off Antineutrino Measurement with KamLAND, Phys. Rev. D 88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sz w:val="24"/>
          <w:szCs w:val="24"/>
        </w:rPr>
      </w:pPr>
      <w:r>
        <w:rPr>
          <w:sz w:val="24"/>
          <w:szCs w:val="24"/>
        </w:rPr>
        <w:t>(2013) 033001 [arXiv:1303.4667].</w:t>
      </w:r>
    </w:p>
    <w:p>
      <w:pPr>
        <w:pStyle w:val="Style1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G. Bellini et al., Precision measurement of the 7Be solar neutrino interaction rate in Borexino, Phys. Rev.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sz w:val="24"/>
          <w:szCs w:val="24"/>
        </w:rPr>
      </w:pPr>
      <w:r>
        <w:rPr>
          <w:sz w:val="24"/>
          <w:szCs w:val="24"/>
        </w:rPr>
        <w:t>Lett. 107 (2011) 141302 [arXiv:1104.1816].</w:t>
      </w:r>
    </w:p>
    <w:p>
      <w:pPr>
        <w:pStyle w:val="Style19"/>
        <w:numPr>
          <w:ilvl w:val="0"/>
          <w:numId w:val="1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Daya Bay collaboration, Measurement of electron antineutrino oscillation based on 1230 days of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sz w:val="24"/>
          <w:szCs w:val="24"/>
        </w:rPr>
      </w:pPr>
      <w:r>
        <w:rPr>
          <w:sz w:val="24"/>
          <w:szCs w:val="24"/>
        </w:rPr>
        <w:t>operation of the Daya Bay experiment, Phys. Rev. D 95 (2017) 072006 [arXiv:1610.04802].</w:t>
      </w:r>
    </w:p>
    <w:p>
      <w:pPr>
        <w:pStyle w:val="Style19"/>
        <w:numPr>
          <w:ilvl w:val="0"/>
          <w:numId w:val="1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RENO collaboration, Spectral Measurement of the Electron Antineutrino Oscillation Amplitude and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sz w:val="24"/>
          <w:szCs w:val="24"/>
        </w:rPr>
      </w:pPr>
      <w:r>
        <w:rPr>
          <w:sz w:val="24"/>
          <w:szCs w:val="24"/>
        </w:rPr>
        <w:t>Frequency using 500 Live Days of RENO Data, Phys. Rev. D 98 (2018) 012002 [arXiv:1610.04326].</w:t>
      </w:r>
    </w:p>
    <w:p>
      <w:pPr>
        <w:pStyle w:val="Style19"/>
        <w:numPr>
          <w:ilvl w:val="0"/>
          <w:numId w:val="1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Double Chooz collaboration, Improved measurements of the neutrino mixing angle θ 13 with the Double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sz w:val="24"/>
          <w:szCs w:val="24"/>
        </w:rPr>
      </w:pPr>
      <w:r>
        <w:rPr>
          <w:sz w:val="24"/>
          <w:szCs w:val="24"/>
        </w:rPr>
        <w:t>Chooz detector, JHEP 02 (2014) 074 [Erratum ibid. 02 (2015) 074] [arXiv:1406.7763].</w:t>
      </w:r>
    </w:p>
    <w:p>
      <w:pPr>
        <w:pStyle w:val="Style19"/>
        <w:numPr>
          <w:ilvl w:val="0"/>
          <w:numId w:val="15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JUNO collaboration, Neutrino Physics with JUNO, J. Phys. G 43 (2016) 030401 [arXiv:1507.05613].</w:t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rFonts w:cs="Times New Roman"/>
          <w:b w:val="false"/>
          <w:bCs w:val="false"/>
          <w:i w:val="false"/>
          <w:i w:val="false"/>
          <w:iCs w:val="false"/>
          <w:color w:val="000000"/>
          <w:shd w:fill="auto" w:val="clear"/>
          <w:lang w:val="ru-RU"/>
        </w:rPr>
      </w:pPr>
      <w:r>
        <w:rPr>
          <w:sz w:val="24"/>
          <w:szCs w:val="24"/>
        </w:rPr>
      </w:r>
    </w:p>
    <w:p>
      <w:pPr>
        <w:pStyle w:val="Style19"/>
        <w:numPr>
          <w:ilvl w:val="0"/>
          <w:numId w:val="0"/>
        </w:numPr>
        <w:spacing w:lineRule="auto" w:line="240"/>
        <w:ind w:hanging="0" w:left="502"/>
        <w:rPr>
          <w:color w:val="FF0000"/>
          <w:sz w:val="24"/>
          <w:szCs w:val="24"/>
          <w:highlight w:val="none"/>
          <w:shd w:fill="FFFF00" w:val="clear"/>
        </w:rPr>
      </w:pPr>
      <w:r>
        <w:rPr>
          <w:color w:val="FF0000"/>
          <w:sz w:val="24"/>
          <w:szCs w:val="24"/>
          <w:shd w:fill="FFFF00" w:val="clear"/>
        </w:rPr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szCs w:val="20"/>
        <w:iCs w:val="false"/>
        <w:bCs w:val="false"/>
        <w:em w:val="none"/>
        <w:vanish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w="http://schemas.openxmlformats.org/wordprocessingml/2006/main">
  <w:zoom w:percent="11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2cf"/>
    <w:pPr>
      <w:widowControl/>
      <w:suppressAutoHyphens w:val="true"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Heading1">
    <w:name w:val="Heading 1"/>
    <w:basedOn w:val="Style11"/>
    <w:next w:val="BodyText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Heading3">
    <w:name w:val="Heading 3"/>
    <w:basedOn w:val="Style11"/>
    <w:next w:val="BodyText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Heading5">
    <w:name w:val="Heading 5"/>
    <w:basedOn w:val="Style11"/>
    <w:next w:val="BodyText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852cf"/>
    <w:rPr>
      <w:color w:themeColor="hyperlink" w:val="0563C1"/>
      <w:u w:val="single"/>
    </w:rPr>
  </w:style>
  <w:style w:type="character" w:styleId="Emphasis">
    <w:name w:val="Emphasis"/>
    <w:uiPriority w:val="20"/>
    <w:qFormat/>
    <w:rsid w:val="005a1d55"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 w:customStyle="1">
    <w:name w:val="! Название"/>
    <w:basedOn w:val="Normal"/>
    <w:next w:val="Style14"/>
    <w:qFormat/>
    <w:rsid w:val="004852cf"/>
    <w:pPr>
      <w:keepNext w:val="true"/>
      <w:keepLines/>
      <w:suppressAutoHyphens w:val="true"/>
      <w:spacing w:before="160" w:after="60"/>
      <w:ind w:hanging="0"/>
      <w:jc w:val="center"/>
    </w:pPr>
    <w:rPr>
      <w:rFonts w:eastAsia="Calibri"/>
      <w:b/>
      <w:sz w:val="24"/>
      <w:szCs w:val="28"/>
      <w:shd w:fill="FFFFFF" w:val="clear"/>
    </w:rPr>
  </w:style>
  <w:style w:type="paragraph" w:styleId="Style14" w:customStyle="1">
    <w:name w:val="! Авторы"/>
    <w:next w:val="Style15"/>
    <w:qFormat/>
    <w:rsid w:val="004852cf"/>
    <w:pPr>
      <w:keepNext w:val="true"/>
      <w:widowControl/>
      <w:suppressAutoHyphens w:val="true"/>
      <w:bidi w:val="0"/>
      <w:spacing w:lineRule="auto" w:line="240" w:before="240" w:after="0"/>
      <w:jc w:val="center"/>
      <w:outlineLvl w:val="0"/>
    </w:pPr>
    <w:rPr>
      <w:rFonts w:ascii="Times New Roman" w:hAnsi="Times New Roman" w:eastAsia="SimSun" w:cs="Times New Roman"/>
      <w:b/>
      <w:i/>
      <w:iCs/>
      <w:color w:val="auto"/>
      <w:kern w:val="0"/>
      <w:sz w:val="22"/>
      <w:szCs w:val="22"/>
      <w:lang w:val="en-US" w:eastAsia="ru-RU" w:bidi="ar-SA"/>
    </w:rPr>
  </w:style>
  <w:style w:type="paragraph" w:styleId="Style15" w:customStyle="1">
    <w:name w:val="! Организация"/>
    <w:qFormat/>
    <w:rsid w:val="004852cf"/>
    <w:pPr>
      <w:keepNext w:val="true"/>
      <w:keepLines/>
      <w:widowControl/>
      <w:suppressAutoHyphens w:val="true"/>
      <w:bidi w:val="0"/>
      <w:spacing w:lineRule="auto" w:line="240" w:before="120" w:after="240"/>
      <w:contextualSpacing/>
      <w:jc w:val="center"/>
    </w:pPr>
    <w:rPr>
      <w:rFonts w:ascii="Times New Roman" w:hAnsi="Times New Roman" w:eastAsia="SimSun" w:cs="Times New Roman"/>
      <w:color w:val="auto"/>
      <w:kern w:val="0"/>
      <w:sz w:val="20"/>
      <w:szCs w:val="20"/>
      <w:lang w:val="ru-RU" w:eastAsia="ru-RU" w:bidi="ar-SA"/>
    </w:rPr>
  </w:style>
  <w:style w:type="paragraph" w:styleId="Style16" w:customStyle="1">
    <w:name w:val="! Литература"/>
    <w:qFormat/>
    <w:rsid w:val="004852cf"/>
    <w:pPr>
      <w:keepNext w:val="true"/>
      <w:widowControl/>
      <w:suppressAutoHyphens w:val="true"/>
      <w:bidi w:val="0"/>
      <w:spacing w:lineRule="auto" w:line="240" w:before="240" w:after="120"/>
      <w:jc w:val="center"/>
    </w:pPr>
    <w:rPr>
      <w:rFonts w:ascii="Times New Roman" w:hAnsi="Times New Roman" w:eastAsia="SimSun" w:cs="Times New Roman"/>
      <w:b/>
      <w:color w:val="auto"/>
      <w:kern w:val="0"/>
      <w:sz w:val="22"/>
      <w:szCs w:val="24"/>
      <w:lang w:val="ru-RU" w:eastAsia="ru-RU" w:bidi="ar-SA"/>
    </w:rPr>
  </w:style>
  <w:style w:type="paragraph" w:styleId="Style17" w:customStyle="1">
    <w:name w:val="! УДК"/>
    <w:next w:val="Style13"/>
    <w:qFormat/>
    <w:rsid w:val="004852cf"/>
    <w:pPr>
      <w:keepNext w:val="true"/>
      <w:widowControl/>
      <w:suppressAutoHyphens w:val="true"/>
      <w:bidi w:val="0"/>
      <w:spacing w:lineRule="auto" w:line="240" w:before="60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4"/>
      <w:lang w:val="ru-RU" w:eastAsia="ru-RU" w:bidi="ar-SA"/>
    </w:rPr>
  </w:style>
  <w:style w:type="paragraph" w:styleId="-" w:customStyle="1">
    <w:name w:val="! Рисунок-Подпись"/>
    <w:qFormat/>
    <w:rsid w:val="004852cf"/>
    <w:pPr>
      <w:keepLines/>
      <w:widowControl/>
      <w:shd w:val="clear" w:color="auto" w:fill="FFFFFF" w:themeFill="background1"/>
      <w:suppressAutoHyphens w:val="true"/>
      <w:bidi w:val="0"/>
      <w:spacing w:lineRule="auto" w:line="240" w:before="120" w:after="240"/>
      <w:jc w:val="both"/>
    </w:pPr>
    <w:rPr>
      <w:rFonts w:ascii="Times New Roman" w:hAnsi="Times New Roman" w:eastAsia="Arial" w:cs="Times New Roman"/>
      <w:color w:val="auto"/>
      <w:kern w:val="0"/>
      <w:sz w:val="20"/>
      <w:szCs w:val="22"/>
      <w:lang w:val="ru-RU" w:eastAsia="ru-RU" w:bidi="ar-SA"/>
    </w:rPr>
  </w:style>
  <w:style w:type="paragraph" w:styleId="-1" w:customStyle="1">
    <w:name w:val="! Рисунок-графика"/>
    <w:next w:val="-"/>
    <w:qFormat/>
    <w:rsid w:val="004852cf"/>
    <w:pPr>
      <w:keepNext w:val="true"/>
      <w:widowControl/>
      <w:suppressAutoHyphens w:val="true"/>
      <w:bidi w:val="0"/>
      <w:spacing w:lineRule="auto" w:line="240" w:before="120" w:after="0"/>
      <w:jc w:val="center"/>
    </w:pPr>
    <w:rPr>
      <w:rFonts w:ascii="Times New Roman" w:hAnsi="Times New Roman" w:eastAsia="SimSun" w:cs="Times New Roman"/>
      <w:color w:val="auto"/>
      <w:kern w:val="2"/>
      <w:sz w:val="22"/>
      <w:szCs w:val="24"/>
      <w:lang w:val="ru-RU" w:eastAsia="ru-RU" w:bidi="ar-SA"/>
    </w:rPr>
  </w:style>
  <w:style w:type="paragraph" w:styleId="Style18" w:customStyle="1">
    <w:name w:val="! Таблица"/>
    <w:basedOn w:val="Normal"/>
    <w:qFormat/>
    <w:rsid w:val="004852cf"/>
    <w:pPr>
      <w:keepNext w:val="true"/>
      <w:suppressLineNumbers/>
      <w:suppressAutoHyphens w:val="true"/>
      <w:spacing w:before="160" w:after="120"/>
      <w:ind w:hanging="0"/>
      <w:jc w:val="center"/>
    </w:pPr>
    <w:rPr>
      <w:rFonts w:eastAsia="DejaVu Sans" w:cs="FreeSans"/>
      <w:kern w:val="2"/>
      <w:sz w:val="21"/>
      <w:szCs w:val="21"/>
    </w:rPr>
  </w:style>
  <w:style w:type="paragraph" w:styleId="Style19" w:customStyle="1">
    <w:name w:val="! Список литературы"/>
    <w:basedOn w:val="ListParagraph"/>
    <w:qFormat/>
    <w:rsid w:val="007354ef"/>
    <w:pPr>
      <w:numPr>
        <w:ilvl w:val="0"/>
        <w:numId w:val="1"/>
      </w:numPr>
      <w:suppressAutoHyphens w:val="true"/>
    </w:pPr>
    <w:rPr>
      <w:rFonts w:cs="Calibri"/>
      <w:sz w:val="20"/>
      <w:szCs w:val="20"/>
      <w:lang w:val="en-US" w:eastAsia="zh-CN" w:bidi="he-IL"/>
    </w:rPr>
  </w:style>
  <w:style w:type="paragraph" w:styleId="Style20" w:customStyle="1">
    <w:name w:val="! Текст таблицы"/>
    <w:qFormat/>
    <w:rsid w:val="004852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ru-RU" w:eastAsia="en-US" w:bidi="ar-SA"/>
    </w:rPr>
  </w:style>
  <w:style w:type="paragraph" w:styleId="Style21" w:customStyle="1">
    <w:name w:val="! Уравнение"/>
    <w:qFormat/>
    <w:rsid w:val="004852cf"/>
    <w:pPr>
      <w:widowControl/>
      <w:tabs>
        <w:tab w:val="clear" w:pos="708"/>
        <w:tab w:val="center" w:pos="4820" w:leader="none"/>
        <w:tab w:val="right" w:pos="9412" w:leader="none"/>
      </w:tabs>
      <w:suppressAutoHyphens w:val="true"/>
      <w:bidi w:val="0"/>
      <w:spacing w:lineRule="auto" w:line="240" w:before="120" w:after="160"/>
      <w:jc w:val="center"/>
    </w:pPr>
    <w:rPr>
      <w:rFonts w:ascii="Times New Roman" w:hAnsi="Times New Roman" w:eastAsia="SimSun" w:cs="Times New Roman"/>
      <w:color w:val="auto"/>
      <w:kern w:val="2"/>
      <w:sz w:val="22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852cf"/>
    <w:pPr>
      <w:spacing w:before="0" w:after="0"/>
      <w:ind w:left="720"/>
      <w:contextualSpacing/>
    </w:pPr>
    <w:rPr/>
  </w:style>
  <w:style w:type="paragraph" w:styleId="Style22" w:customStyle="1">
    <w:name w:val="!! Список литературы"/>
    <w:basedOn w:val="ListParagraph"/>
    <w:qFormat/>
    <w:rsid w:val="001733eb"/>
    <w:pPr>
      <w:suppressAutoHyphens w:val="true"/>
      <w:ind w:hanging="360" w:left="502"/>
    </w:pPr>
    <w:rPr>
      <w:rFonts w:cs="Calibri"/>
      <w:sz w:val="20"/>
      <w:szCs w:val="20"/>
      <w:lang w:val="en-US" w:eastAsia="zh-CN" w:bidi="he-IL"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qFormat/>
    <w:rsid w:val="004852c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dsinskaya.n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LibreOffice/24.2.7.2$Linux_X86_64 LibreOffice_project/420$Build-2</Application>
  <AppVersion>15.0000</AppVersion>
  <Pages>2</Pages>
  <Words>382</Words>
  <Characters>2677</Characters>
  <CharactersWithSpaces>3273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2025-02-14T15:06:00Z</dcterms:created>
  <dc:creator>Rozanov</dc:creator>
  <dc:description/>
  <dc:language>ru-RU</dc:language>
  <cp:lastModifiedBy/>
  <dcterms:modified xsi:type="dcterms:W3CDTF">2025-03-09T23:50:44Z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