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230C" w14:textId="6D349AA8" w:rsidR="00AF762A" w:rsidRDefault="00000000">
      <w:pPr>
        <w:widowControl w:val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Механизмы модификации и разрушения </w:t>
      </w:r>
      <w:proofErr w:type="spellStart"/>
      <w:r>
        <w:rPr>
          <w:rFonts w:ascii="Times New Roman" w:hAnsi="Times New Roman" w:cs="Times New Roman"/>
          <w:b/>
        </w:rPr>
        <w:t>CF</w:t>
      </w:r>
      <w:r>
        <w:rPr>
          <w:rFonts w:ascii="Times New Roman" w:hAnsi="Times New Roman" w:cs="Times New Roman"/>
          <w:b/>
          <w:vertAlign w:val="subscript"/>
        </w:rPr>
        <w:t>x</w:t>
      </w:r>
      <w:proofErr w:type="spellEnd"/>
      <w:r>
        <w:rPr>
          <w:rFonts w:ascii="Times New Roman" w:hAnsi="Times New Roman" w:cs="Times New Roman"/>
          <w:b/>
        </w:rPr>
        <w:t xml:space="preserve">-пленок </w:t>
      </w:r>
      <w:r>
        <w:rPr>
          <w:rFonts w:ascii="Times New Roman" w:hAnsi="Times New Roman" w:cs="Times New Roman"/>
          <w:b/>
        </w:rPr>
        <w:br/>
        <w:t>при атомно-слоевом травлении диоксида кремния</w:t>
      </w:r>
    </w:p>
    <w:p w14:paraId="43D65D80" w14:textId="77777777" w:rsidR="00AF762A" w:rsidRDefault="00000000">
      <w:pPr>
        <w:widowControl w:val="0"/>
        <w:spacing w:before="119" w:line="20" w:lineRule="atLeast"/>
        <w:jc w:val="center"/>
      </w:pPr>
      <w:r>
        <w:rPr>
          <w:rFonts w:ascii="Times New Roman" w:hAnsi="Times New Roman" w:cs="Times New Roman"/>
          <w:b/>
          <w:bCs/>
          <w:i/>
          <w:iCs/>
        </w:rPr>
        <w:t>Соловых А.А.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1,2</w:t>
      </w:r>
      <w:r>
        <w:rPr>
          <w:rFonts w:ascii="Times New Roman" w:hAnsi="Times New Roman" w:cs="Times New Roman"/>
          <w:b/>
          <w:bCs/>
          <w:i/>
          <w:iCs/>
        </w:rPr>
        <w:t>, Воронина Е.Н.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1,2</w:t>
      </w:r>
    </w:p>
    <w:p w14:paraId="11CDBEAF" w14:textId="77777777" w:rsidR="00AF762A" w:rsidRDefault="00000000">
      <w:pPr>
        <w:widowControl w:val="0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</w:rPr>
        <w:t>Студент, 2 курса магистратуры</w:t>
      </w:r>
    </w:p>
    <w:p w14:paraId="1D19087B" w14:textId="77777777" w:rsidR="00AF762A" w:rsidRDefault="00000000">
      <w:pPr>
        <w:widowControl w:val="0"/>
        <w:jc w:val="center"/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М. В. Ломоносова, </w:t>
      </w:r>
    </w:p>
    <w:p w14:paraId="64672668" w14:textId="77777777" w:rsidR="00AF762A" w:rsidRDefault="00000000">
      <w:pPr>
        <w:widowControl w:val="0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</w:rPr>
        <w:t>физический факультет, Москва, Россия,</w:t>
      </w:r>
    </w:p>
    <w:p w14:paraId="643947CF" w14:textId="77777777" w:rsidR="00AF762A" w:rsidRDefault="00000000">
      <w:pPr>
        <w:widowControl w:val="0"/>
        <w:jc w:val="center"/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М. В. Ломоносова, </w:t>
      </w:r>
    </w:p>
    <w:p w14:paraId="0484BCD9" w14:textId="77777777" w:rsidR="00AF762A" w:rsidRDefault="00000000">
      <w:pPr>
        <w:widowControl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Научно-исследовательский институт ядерной физики имени Д. В. Скобельцына, </w:t>
      </w:r>
    </w:p>
    <w:p w14:paraId="734D92D7" w14:textId="77777777" w:rsidR="00AF762A" w:rsidRDefault="00000000">
      <w:pPr>
        <w:widowControl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Москва, Россия</w:t>
      </w:r>
    </w:p>
    <w:p w14:paraId="02074349" w14:textId="77777777" w:rsidR="00AF762A" w:rsidRDefault="00000000">
      <w:pPr>
        <w:widowControl w:val="0"/>
        <w:spacing w:after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solovykh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lang w:val="en-US"/>
        </w:rPr>
        <w:t>aa</w:t>
      </w:r>
      <w:r>
        <w:rPr>
          <w:rFonts w:ascii="Times New Roman" w:hAnsi="Times New Roman" w:cs="Times New Roman"/>
          <w:i/>
          <w:iCs/>
        </w:rPr>
        <w:t>19@</w:t>
      </w:r>
      <w:r>
        <w:rPr>
          <w:rFonts w:ascii="Times New Roman" w:hAnsi="Times New Roman" w:cs="Times New Roman"/>
          <w:i/>
          <w:iCs/>
          <w:lang w:val="en-US"/>
        </w:rPr>
        <w:t>physics</w:t>
      </w:r>
      <w:r>
        <w:rPr>
          <w:rFonts w:ascii="Times New Roman" w:hAnsi="Times New Roman" w:cs="Times New Roman"/>
          <w:i/>
          <w:iCs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msu</w:t>
      </w:r>
      <w:proofErr w:type="spellEnd"/>
      <w:r>
        <w:rPr>
          <w:rFonts w:ascii="Times New Roman" w:hAnsi="Times New Roman" w:cs="Times New Roman"/>
          <w:i/>
          <w:iCs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14:paraId="6BAD00B0" w14:textId="77777777" w:rsidR="00AF762A" w:rsidRDefault="00000000">
      <w:pPr>
        <w:widowControl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уменьшением размеров элементов сверхбольших интегральных схем (СБИС) в последние годы при проведении различных технологических операций – например, травлении, легировании, очистке поверхности и т.д. резко возросла потребность в прецизионном контроле поверхности обрабатываемых материалов на уровне отдельных атомных слоев [1, 2].</w:t>
      </w:r>
      <w:r>
        <w:rPr>
          <w:rFonts w:ascii="Times New Roman" w:hAnsi="Times New Roman" w:cs="Times New Roman"/>
          <w:color w:val="FF00FF"/>
        </w:rPr>
        <w:t xml:space="preserve"> </w:t>
      </w:r>
      <w:r>
        <w:rPr>
          <w:rFonts w:ascii="Times New Roman" w:hAnsi="Times New Roman" w:cs="Times New Roman"/>
        </w:rPr>
        <w:t>При травлении подобный контроль может быть реализован с использованием метода атомно-слоевого травления (</w:t>
      </w:r>
      <w:r>
        <w:rPr>
          <w:rFonts w:ascii="Times New Roman" w:hAnsi="Times New Roman" w:cs="Times New Roman"/>
          <w:i/>
          <w:iCs/>
          <w:lang w:val="en-US"/>
        </w:rPr>
        <w:t>atomic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layer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etching</w:t>
      </w:r>
      <w:r>
        <w:rPr>
          <w:rFonts w:ascii="Times New Roman" w:hAnsi="Times New Roman" w:cs="Times New Roman"/>
        </w:rPr>
        <w:t xml:space="preserve">, ALE), в основе которого лежат последовательные </w:t>
      </w:r>
      <w:proofErr w:type="spellStart"/>
      <w:r>
        <w:rPr>
          <w:rFonts w:ascii="Times New Roman" w:hAnsi="Times New Roman" w:cs="Times New Roman"/>
        </w:rPr>
        <w:t>самоограниченные</w:t>
      </w:r>
      <w:proofErr w:type="spellEnd"/>
      <w:r>
        <w:rPr>
          <w:rFonts w:ascii="Times New Roman" w:hAnsi="Times New Roman" w:cs="Times New Roman"/>
        </w:rPr>
        <w:t xml:space="preserve"> реакции. Процесс ALE принято разделять на два основных этапа: создание тонкого модифицированного поверхностного слоя и его последующее удаление. При выполнении многих технологических операций в производстве СБИС применяется низкотемпературная плазма, поэтому особый интерес вызывает ALE под действием плазмы (</w:t>
      </w:r>
      <w:r>
        <w:rPr>
          <w:rFonts w:ascii="Times New Roman" w:hAnsi="Times New Roman" w:cs="Times New Roman"/>
          <w:i/>
          <w:iCs/>
          <w:lang w:val="en-US"/>
        </w:rPr>
        <w:t>plasma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enhanced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ALE</w:t>
      </w:r>
      <w:r>
        <w:rPr>
          <w:rFonts w:ascii="Times New Roman" w:hAnsi="Times New Roman" w:cs="Times New Roman"/>
        </w:rPr>
        <w:t xml:space="preserve">). Именно оно позволяет за счет наличия ионов осуществлять анизотропное травление, критически важное для создания элементов наноэлектроники. Применение ионов в </w:t>
      </w:r>
      <w:r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ALE</w:t>
      </w:r>
      <w:r>
        <w:rPr>
          <w:rFonts w:ascii="Times New Roman" w:hAnsi="Times New Roman" w:cs="Times New Roman"/>
        </w:rPr>
        <w:t xml:space="preserve"> обычно происходит на втором этапе и требует тщательного подбора диапазона энергий, при которых удаляется модифицированный слой, но не происходит распыления исходного материала. </w:t>
      </w:r>
    </w:p>
    <w:p w14:paraId="6700507B" w14:textId="77777777" w:rsidR="00AF762A" w:rsidRDefault="00000000">
      <w:pPr>
        <w:widowControl w:val="0"/>
        <w:ind w:firstLine="397"/>
        <w:jc w:val="both"/>
      </w:pPr>
      <w:r>
        <w:rPr>
          <w:rFonts w:ascii="Times New Roman" w:hAnsi="Times New Roman" w:cs="Times New Roman"/>
        </w:rPr>
        <w:t xml:space="preserve">В настоящее время ведется активный поиск реакций для осуществления ALE для конкретных материалов. Экспериментальные исследования ALE диоксида кремния </w:t>
      </w:r>
      <w:r>
        <w:rPr>
          <w:rFonts w:ascii="Times New Roman" w:hAnsi="Times New Roman" w:cs="Times New Roman"/>
          <w:lang w:val="en-US"/>
        </w:rPr>
        <w:t>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во фторуглеродной плазме </w:t>
      </w:r>
      <w:proofErr w:type="spellStart"/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/>
        </w:rPr>
        <w:t>x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i/>
          <w:iCs/>
          <w:vertAlign w:val="subscript"/>
          <w:lang w:val="en-US"/>
        </w:rPr>
        <w:t>y</w:t>
      </w:r>
      <w:proofErr w:type="spellEnd"/>
      <w:r>
        <w:rPr>
          <w:rFonts w:ascii="Times New Roman" w:hAnsi="Times New Roman" w:cs="Times New Roman"/>
        </w:rPr>
        <w:t>, выполненные в</w:t>
      </w:r>
      <w:r>
        <w:rPr>
          <w:rFonts w:ascii="Times New Roman" w:hAnsi="Times New Roman" w:cs="Times New Roman"/>
          <w:color w:val="000000"/>
        </w:rPr>
        <w:t xml:space="preserve"> НИИЯФ МГУ [3], показали, что критически важную роль в процессах </w:t>
      </w:r>
      <w:r>
        <w:rPr>
          <w:rFonts w:ascii="Times New Roman" w:hAnsi="Times New Roman" w:cs="Times New Roman"/>
          <w:color w:val="000000"/>
          <w:lang w:val="en-US"/>
        </w:rPr>
        <w:t>ALE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SiO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играет рыхлая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CF</w:t>
      </w:r>
      <w:r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color w:val="000000"/>
        </w:rPr>
        <w:t>-пленка толщиной 1–2</w:t>
      </w:r>
      <w:r>
        <w:rPr>
          <w:rFonts w:ascii="Times New Roman" w:hAnsi="Times New Roman" w:cs="Times New Roman"/>
        </w:rPr>
        <w:t xml:space="preserve"> нм, образующая на поверхности материала под действием радикалов и ионов плазмы и содержащая длинные разветвленные цепочки (–С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–)</w:t>
      </w:r>
      <w:r>
        <w:rPr>
          <w:rFonts w:ascii="Times New Roman" w:hAnsi="Times New Roman" w:cs="Times New Roman"/>
          <w:i/>
          <w:iCs/>
          <w:vertAlign w:val="subscript"/>
          <w:lang w:val="en-US"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FF"/>
        </w:rPr>
        <w:t xml:space="preserve"> </w:t>
      </w:r>
      <w:r>
        <w:rPr>
          <w:rFonts w:ascii="Times New Roman" w:hAnsi="Times New Roman" w:cs="Times New Roman"/>
        </w:rPr>
        <w:t xml:space="preserve">Облучение пленки ионами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низкой энергии приводит к модификации ультратонкого приповерхностного слоя 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, который затем удаляется на втором этапе вместе с оставшимися на поверхности фрагментами пленки. В связи с этим целью настоящей работы являлось исследование воздействия ионов плазмы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>​/</w:t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y</w:t>
      </w:r>
      <w:proofErr w:type="spellEnd"/>
      <w:r>
        <w:rPr>
          <w:rFonts w:ascii="Times New Roman" w:hAnsi="Times New Roman" w:cs="Times New Roman"/>
        </w:rPr>
        <w:t xml:space="preserve"> низкой (до 50 эВ) энергии на модели </w:t>
      </w:r>
      <w:proofErr w:type="spellStart"/>
      <w:r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  <w:vertAlign w:val="subscript"/>
        </w:rPr>
        <w:t>x</w:t>
      </w:r>
      <w:proofErr w:type="spellEnd"/>
      <w:r>
        <w:rPr>
          <w:rFonts w:ascii="Times New Roman" w:hAnsi="Times New Roman" w:cs="Times New Roman"/>
        </w:rPr>
        <w:t>-пленок в виде отдельных молекул С</w:t>
      </w:r>
      <w:r>
        <w:rPr>
          <w:rFonts w:ascii="Times New Roman" w:hAnsi="Times New Roman" w:cs="Times New Roman"/>
          <w:i/>
          <w:iCs/>
          <w:vertAlign w:val="subscript"/>
        </w:rPr>
        <w:t>n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iCs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+2</w:t>
      </w:r>
      <w:r>
        <w:rPr>
          <w:rFonts w:ascii="Times New Roman" w:hAnsi="Times New Roman" w:cs="Times New Roman"/>
        </w:rPr>
        <w:t xml:space="preserve"> и C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. Моделирование осуществлялось с использованием квантовомеханического метода теории функционала плотности (DFT) на суперкомпьютере ЦКП МГУ «Ломоносов-2» [4] в программном пакете VASP [5]. </w:t>
      </w:r>
    </w:p>
    <w:p w14:paraId="121C68DC" w14:textId="77777777" w:rsidR="00AF762A" w:rsidRPr="00550E07" w:rsidRDefault="00000000">
      <w:pPr>
        <w:widowControl w:val="0"/>
        <w:ind w:firstLine="397"/>
        <w:jc w:val="both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</w:rPr>
        <w:t xml:space="preserve">Сначала было выполнено моделирование для ионов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  <w:color w:val="000000"/>
        </w:rPr>
        <w:t xml:space="preserve"> с энергией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 = 15–50 эВ, которое показало, что такие ионы способны выбивать атомы F и CF</w:t>
      </w:r>
      <w:r>
        <w:rPr>
          <w:rFonts w:ascii="Times New Roman" w:hAnsi="Times New Roman" w:cs="Times New Roman"/>
          <w:color w:val="000000"/>
        </w:rPr>
        <w:noBreakHyphen/>
        <w:t xml:space="preserve">радикалы из </w:t>
      </w:r>
      <w:proofErr w:type="spellStart"/>
      <w:r>
        <w:rPr>
          <w:rFonts w:ascii="Times New Roman" w:hAnsi="Times New Roman" w:cs="Times New Roman"/>
          <w:color w:val="000000"/>
        </w:rPr>
        <w:t>CF</w:t>
      </w:r>
      <w:r>
        <w:rPr>
          <w:rFonts w:ascii="Times New Roman" w:hAnsi="Times New Roman" w:cs="Times New Roman"/>
          <w:i/>
          <w:iCs/>
          <w:color w:val="000000"/>
          <w:vertAlign w:val="subscript"/>
        </w:rPr>
        <w:t>x</w:t>
      </w:r>
      <w:proofErr w:type="spellEnd"/>
      <w:r>
        <w:rPr>
          <w:rFonts w:ascii="Times New Roman" w:hAnsi="Times New Roman" w:cs="Times New Roman"/>
          <w:color w:val="000000"/>
        </w:rPr>
        <w:noBreakHyphen/>
        <w:t xml:space="preserve">пленки. С целью нахождения пороговой энергии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  <w:vertAlign w:val="subscript"/>
          <w:lang w:val="en-US"/>
        </w:rPr>
        <w:t>th</w:t>
      </w:r>
      <w:r>
        <w:rPr>
          <w:rFonts w:ascii="Times New Roman" w:hAnsi="Times New Roman" w:cs="Times New Roman"/>
          <w:color w:val="000000"/>
        </w:rPr>
        <w:t xml:space="preserve"> иона, необходимой для отрыва атома F, были проведены расчеты для оптимальной геометрии удара </w:t>
      </w:r>
      <w:proofErr w:type="spellStart"/>
      <w:r>
        <w:rPr>
          <w:rFonts w:ascii="Times New Roman" w:hAnsi="Times New Roman" w:cs="Times New Roman"/>
          <w:color w:val="000000"/>
        </w:rPr>
        <w:t>Ar</w:t>
      </w:r>
      <w:proofErr w:type="spellEnd"/>
      <w:r>
        <w:rPr>
          <w:rFonts w:ascii="Times New Roman" w:hAnsi="Times New Roman" w:cs="Times New Roman"/>
          <w:color w:val="000000"/>
          <w:vertAlign w:val="superscript"/>
        </w:rPr>
        <w:t>+</w:t>
      </w:r>
      <w:r>
        <w:rPr>
          <w:rFonts w:ascii="Times New Roman" w:hAnsi="Times New Roman" w:cs="Times New Roman"/>
          <w:color w:val="000000"/>
        </w:rPr>
        <w:t xml:space="preserve">, т. е. для случая, когда ион </w:t>
      </w:r>
      <w:proofErr w:type="spellStart"/>
      <w:r>
        <w:rPr>
          <w:rFonts w:ascii="Times New Roman" w:hAnsi="Times New Roman" w:cs="Times New Roman"/>
          <w:color w:val="000000"/>
        </w:rPr>
        <w:t>Ar</w:t>
      </w:r>
      <w:proofErr w:type="spellEnd"/>
      <w:r>
        <w:rPr>
          <w:rFonts w:ascii="Times New Roman" w:hAnsi="Times New Roman" w:cs="Times New Roman"/>
          <w:color w:val="000000"/>
        </w:rPr>
        <w:t xml:space="preserve"> летит перпендикулярно связи </w:t>
      </w:r>
      <w:r>
        <w:rPr>
          <w:rFonts w:ascii="Times New Roman" w:hAnsi="Times New Roman" w:cs="Times New Roman"/>
          <w:color w:val="000000"/>
          <w:lang w:val="en-US"/>
        </w:rPr>
        <w:t>C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</w:rPr>
        <w:t xml:space="preserve"> (рис. 1а). В результате анализа </w:t>
      </w:r>
      <w:r>
        <w:rPr>
          <w:rFonts w:ascii="Times New Roman" w:hAnsi="Times New Roman" w:cs="Times New Roman"/>
        </w:rPr>
        <w:t>полученных траекторий обнаружены линейные зависимости кинетической энергии выбиваемого атома F (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>
        <w:rPr>
          <w:rFonts w:ascii="Times New Roman" w:hAnsi="Times New Roman" w:cs="Times New Roman"/>
        </w:rPr>
        <w:t xml:space="preserve">) и атома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Ar</w:t>
      </w:r>
      <w:proofErr w:type="spellEnd"/>
      <w:r>
        <w:rPr>
          <w:rFonts w:ascii="Times New Roman" w:hAnsi="Times New Roman" w:cs="Times New Roman"/>
        </w:rPr>
        <w:t xml:space="preserve">) после удара от начальной энергии иона 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(рис. 1б) и произведена оценка пороговой энергии 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th</w:t>
      </w:r>
      <w:r>
        <w:rPr>
          <w:rFonts w:ascii="Times New Roman" w:hAnsi="Times New Roman" w:cs="Times New Roman"/>
        </w:rPr>
        <w:t xml:space="preserve"> ~15 эВ. На основании выполненных расчетов можно сделать предварительный вывод, что по сравнению с атомом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вылет </w:t>
      </w:r>
      <w:r>
        <w:rPr>
          <w:rFonts w:ascii="Times New Roman" w:hAnsi="Times New Roman" w:cs="Times New Roman"/>
          <w:lang w:val="en-US"/>
        </w:rPr>
        <w:t>CF</w:t>
      </w:r>
      <w:r>
        <w:rPr>
          <w:rFonts w:ascii="Times New Roman" w:hAnsi="Times New Roman" w:cs="Times New Roman"/>
        </w:rPr>
        <w:noBreakHyphen/>
        <w:t>радикала представляется менее вероятным: для этого необходимы более высокая энергия иона при ударе (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th</w:t>
      </w:r>
      <w:r>
        <w:rPr>
          <w:rFonts w:ascii="Times New Roman" w:hAnsi="Times New Roman" w:cs="Times New Roman"/>
        </w:rPr>
        <w:t xml:space="preserve"> ~ 40 эВ) и определенное направление движения налетающего иона (практически параллельно связи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, рис. 1в).</w:t>
      </w:r>
      <w:r>
        <w:rPr>
          <w:rFonts w:ascii="Times New Roman" w:hAnsi="Times New Roman" w:cs="Times New Roman"/>
          <w:color w:val="FF00FF"/>
        </w:rPr>
        <w:t xml:space="preserve"> </w:t>
      </w:r>
    </w:p>
    <w:p w14:paraId="66EF8228" w14:textId="59087747" w:rsidR="00AF762A" w:rsidRPr="00AE5CCF" w:rsidRDefault="00000000">
      <w:pPr>
        <w:widowControl w:val="0"/>
        <w:jc w:val="both"/>
        <w:rPr>
          <w:lang w:val="en-US"/>
        </w:rPr>
      </w:pPr>
      <w:r>
        <w:rPr>
          <w:rFonts w:ascii="Times New Roman" w:hAnsi="Times New Roman" w:cs="Times New Roman"/>
          <w:color w:val="FF00FF"/>
          <w:lang w:val="en-US"/>
        </w:rPr>
      </w:r>
      <w:r>
        <w:rPr>
          <w:rFonts w:ascii="Times New Roman" w:hAnsi="Times New Roman" w:cs="Times New Roman"/>
          <w:color w:val="FF00FF"/>
          <w:lang w:val="en-US"/>
        </w:rPr>
        <w:pict w14:anchorId="3561AFBC">
          <v:group id="_x0000_s1209" editas="canvas" style="width:459.2pt;height:291.95pt;mso-position-horizontal-relative:char;mso-position-vertical-relative:line" coordorigin="1361,1134" coordsize="9184,5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8" type="#_x0000_t75" style="position:absolute;left:1361;top:1134;width:9184;height:5839" o:preferrelative="f">
              <v:fill o:detectmouseclick="t"/>
              <v:path o:extrusionok="t" o:connecttype="none"/>
              <o:lock v:ext="edit" aspectratio="f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0" type="#_x0000_t202" style="position:absolute;left:8192;top:3922;width:114;height:272" filled="f" stroked="f">
              <v:textbox inset="0,0,0,0">
                <w:txbxContent>
                  <w:p w14:paraId="0C8EC975" w14:textId="5186FBA9" w:rsidR="00D11946" w:rsidRPr="00D11946" w:rsidRDefault="00D11946" w:rsidP="00BB08F1">
                    <w:pPr>
                      <w:rPr>
                        <w:rFonts w:ascii="Times New Roman" w:hAnsi="Times New Roman" w:cs="Times New Roman"/>
                      </w:rPr>
                    </w:pPr>
                    <w:r w:rsidRPr="00D11946">
                      <w:rPr>
                        <w:rFonts w:ascii="Times New Roman" w:hAnsi="Times New Roman" w:cs="Times New Roman"/>
                      </w:rPr>
                      <w:t>б</w:t>
                    </w:r>
                  </w:p>
                </w:txbxContent>
              </v:textbox>
            </v:shape>
            <v:shape id="_x0000_s1221" type="#_x0000_t202" style="position:absolute;left:8192;top:6557;width:114;height:271" filled="f" stroked="f">
              <v:textbox inset="0,0,0,0">
                <w:txbxContent>
                  <w:p w14:paraId="220EEC02" w14:textId="33A11E7A" w:rsidR="00D11946" w:rsidRPr="00D11946" w:rsidRDefault="00D11946" w:rsidP="00BB08F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г</w:t>
                    </w:r>
                  </w:p>
                </w:txbxContent>
              </v:textbox>
            </v:shape>
            <v:shape id="_x0000_s1222" type="#_x0000_t202" style="position:absolute;left:3600;top:6559;width:114;height:271" filled="f" stroked="f">
              <v:textbox inset="0,0,0,0">
                <w:txbxContent>
                  <w:p w14:paraId="587F382E" w14:textId="116EFD5F" w:rsidR="00D11946" w:rsidRPr="00D11946" w:rsidRDefault="00D11946" w:rsidP="00BB08F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</w:t>
                    </w:r>
                  </w:p>
                </w:txbxContent>
              </v:textbox>
            </v:shape>
            <v:shape id="_x0000_s1223" type="#_x0000_t202" style="position:absolute;left:3600;top:3924;width:114;height:272" filled="f" stroked="f">
              <v:textbox inset="0,0,0,0">
                <w:txbxContent>
                  <w:p w14:paraId="5B84AF1F" w14:textId="6AA6411D" w:rsidR="00D11946" w:rsidRPr="00D11946" w:rsidRDefault="00D11946" w:rsidP="00BB08F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</w:t>
                    </w:r>
                  </w:p>
                </w:txbxContent>
              </v:textbox>
            </v:shape>
            <v:shape id="_x0000_s1226" type="#_x0000_t202" style="position:absolute;left:4456;top:1825;width:227;height:283" filled="f" stroked="f">
              <v:textbox inset="0,0,0,0">
                <w:txbxContent>
                  <w:p w14:paraId="115EECBD" w14:textId="4B2DDDB6" w:rsidR="00BB08F1" w:rsidRPr="00BB08F1" w:rsidRDefault="00BB08F1" w:rsidP="00BB08F1">
                    <w:pPr>
                      <w:jc w:val="center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Ar</w:t>
                    </w:r>
                    <w:proofErr w:type="spellEnd"/>
                  </w:p>
                </w:txbxContent>
              </v:textbox>
            </v:shape>
            <v:shape id="_x0000_s1227" type="#_x0000_t202" style="position:absolute;left:4456;top:2392;width:227;height:283" filled="f" stroked="f">
              <v:textbox inset="0,0,0,0">
                <w:txbxContent>
                  <w:p w14:paraId="3F77C31D" w14:textId="66BE68CC" w:rsidR="00BB08F1" w:rsidRPr="00BB08F1" w:rsidRDefault="00BB08F1" w:rsidP="00BB08F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228" type="#_x0000_t202" style="position:absolute;left:4456;top:2959;width:227;height:283" filled="f" stroked="f">
              <v:textbox inset="0,0,0,0">
                <w:txbxContent>
                  <w:p w14:paraId="23D7EB0B" w14:textId="76911D96" w:rsidR="00BB08F1" w:rsidRPr="00BB08F1" w:rsidRDefault="00BB08F1" w:rsidP="00BB08F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29" type="#_x0000_t202" style="position:absolute;left:4428;top:3526;width:312;height:283" filled="f" stroked="f">
              <v:textbox inset="0,0,0,0">
                <w:txbxContent>
                  <w:p w14:paraId="459950E2" w14:textId="6E8148B4" w:rsidR="00BB08F1" w:rsidRPr="00BB08F1" w:rsidRDefault="00BB08F1" w:rsidP="00BB08F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C-F</w:t>
                    </w:r>
                  </w:p>
                </w:txbxContent>
              </v:textbox>
            </v:shape>
            <v:shape id="_x0000_s1231" type="#_x0000_t75" style="position:absolute;left:6582;top:1411;width:3331;height:2551;mso-position-horizontal-relative:text;mso-position-vertical-relative:text">
              <v:imagedata r:id="rId5" o:title="fig1b_lomonosov2025"/>
            </v:shape>
            <v:shape id="_x0000_s1233" type="#_x0000_t75" style="position:absolute;left:2409;top:1542;width:1644;height:2293;mso-position-horizontal-relative:text;mso-position-vertical-relative:text">
              <v:imagedata r:id="rId6" o:title="2025-03-03_07-58-49"/>
            </v:shape>
            <v:shape id="_x0000_s1234" type="#_x0000_t75" style="position:absolute;left:2409;top:4665;width:2462;height:1514;mso-position-horizontal-relative:text;mso-position-vertical-relative:text">
              <v:imagedata r:id="rId7" o:title="2025-03-03_10-37-07"/>
            </v:shape>
            <v:shape id="_x0000_s1235" type="#_x0000_t75" style="position:absolute;left:7183;top:4274;width:2107;height:2290;mso-position-horizontal-relative:text;mso-position-vertical-relative:text">
              <v:imagedata r:id="rId8" o:title="2025-03-03_10-57-18"/>
            </v:shape>
            <v:shape id="_x0000_s1236" type="#_x0000_t75" style="position:absolute;left:4422;top:1542;width:295;height:295;mso-position-horizontal-relative:text;mso-position-vertical-relative:text">
              <v:imagedata r:id="rId9" o:title="2025-03-03_11-29-00"/>
            </v:shape>
            <v:shape id="_x0000_s1237" type="#_x0000_t75" style="position:absolute;left:4445;top:2109;width:251;height:249;mso-position-horizontal-relative:text;mso-position-vertical-relative:text">
              <v:imagedata r:id="rId10" o:title="2025-03-03_11-32-09"/>
            </v:shape>
            <v:shape id="_x0000_s1238" type="#_x0000_t75" style="position:absolute;left:4450;top:2676;width:252;height:255;mso-position-horizontal-relative:text;mso-position-vertical-relative:text">
              <v:imagedata r:id="rId11" o:title="2025-03-03_11-33-16"/>
            </v:shape>
            <v:shape id="_x0000_s1239" type="#_x0000_t75" style="position:absolute;left:4411;top:3299;width:347;height:170;rotation:180;mso-position-horizontal-relative:text;mso-position-vertical-relative:text">
              <v:imagedata r:id="rId12" o:title="2025-03-09_16-12-57"/>
            </v:shape>
            <w10:anchorlock/>
          </v:group>
        </w:pict>
      </w:r>
    </w:p>
    <w:p w14:paraId="0D612841" w14:textId="77777777" w:rsidR="00AF762A" w:rsidRDefault="00000000">
      <w:pPr>
        <w:widowControl w:val="0"/>
        <w:spacing w:line="20" w:lineRule="atLeast"/>
        <w:ind w:firstLine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Рис.1. а, в, г – Последовательные изменения положений атомов в молекулах С</w:t>
      </w:r>
      <w:r>
        <w:rPr>
          <w:rFonts w:ascii="Times New Roman" w:hAnsi="Times New Roman" w:cs="Times New Roman"/>
          <w:i/>
          <w:iCs/>
          <w:vertAlign w:val="subscript"/>
        </w:rPr>
        <w:t>n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iCs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+2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а,в</w:t>
      </w:r>
      <w:proofErr w:type="spellEnd"/>
      <w:r>
        <w:rPr>
          <w:rFonts w:ascii="Times New Roman" w:hAnsi="Times New Roman" w:cs="Times New Roman"/>
        </w:rPr>
        <w:t>) и С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 (г) при ударе иона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в атом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перпендикулярно (а) и параллельно (в) связи C–F и в центр молекулы C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 xml:space="preserve">8 </w:t>
      </w:r>
      <w:r>
        <w:rPr>
          <w:rFonts w:ascii="Times New Roman" w:hAnsi="Times New Roman" w:cs="Times New Roman"/>
        </w:rPr>
        <w:t xml:space="preserve">(г) для начальной энергии иона 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= 15 эВ (а), 40 эВ (в) и 30 эВ (г).</w:t>
      </w:r>
      <w:r>
        <w:rPr>
          <w:rFonts w:ascii="Times New Roman" w:hAnsi="Times New Roman" w:cs="Times New Roman"/>
          <w:color w:val="FF00FF"/>
        </w:rPr>
        <w:t xml:space="preserve">  </w:t>
      </w:r>
      <w:r>
        <w:rPr>
          <w:rFonts w:ascii="Times New Roman" w:hAnsi="Times New Roman" w:cs="Times New Roman"/>
        </w:rPr>
        <w:br/>
        <w:t>б – Кинетическая энергия выбиваемого атома F (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>
        <w:rPr>
          <w:rFonts w:ascii="Times New Roman" w:hAnsi="Times New Roman" w:cs="Times New Roman"/>
        </w:rPr>
        <w:t xml:space="preserve">) и улетающего атома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Ar</w:t>
      </w:r>
      <w:proofErr w:type="spellEnd"/>
      <w:r>
        <w:rPr>
          <w:rFonts w:ascii="Times New Roman" w:hAnsi="Times New Roman" w:cs="Times New Roman"/>
        </w:rPr>
        <w:t xml:space="preserve">) в зависимости от 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p w14:paraId="6351F26B" w14:textId="77777777" w:rsidR="00AF762A" w:rsidRDefault="00AF762A">
      <w:pPr>
        <w:widowControl w:val="0"/>
        <w:spacing w:line="20" w:lineRule="atLeast"/>
        <w:ind w:firstLine="397"/>
        <w:jc w:val="center"/>
        <w:rPr>
          <w:rFonts w:ascii="Times New Roman" w:hAnsi="Times New Roman" w:cs="Times New Roman"/>
        </w:rPr>
      </w:pPr>
    </w:p>
    <w:p w14:paraId="59CDE489" w14:textId="35805755" w:rsidR="00AF762A" w:rsidRDefault="00000000">
      <w:pPr>
        <w:widowControl w:val="0"/>
        <w:ind w:firstLine="397"/>
        <w:jc w:val="both"/>
      </w:pPr>
      <w:r>
        <w:rPr>
          <w:rFonts w:ascii="Times New Roman" w:hAnsi="Times New Roman" w:cs="Times New Roman"/>
        </w:rPr>
        <w:t xml:space="preserve">Экспериментальные исследования, выполненные в НИИЯФ МГУ, также показали, что состав плазмы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>​/</w:t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i/>
          <w:iCs/>
          <w:vertAlign w:val="subscript"/>
        </w:rPr>
        <w:t>x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i/>
          <w:iCs/>
          <w:vertAlign w:val="subscript"/>
        </w:rPr>
        <w:t>y</w:t>
      </w:r>
      <w:proofErr w:type="spellEnd"/>
      <w:r>
        <w:rPr>
          <w:rFonts w:ascii="Times New Roman" w:hAnsi="Times New Roman" w:cs="Times New Roman"/>
        </w:rPr>
        <w:t xml:space="preserve"> оказывает существенное влияние на образование </w:t>
      </w:r>
      <w:proofErr w:type="spellStart"/>
      <w:r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  <w:vertAlign w:val="subscript"/>
        </w:rPr>
        <w:t>x</w:t>
      </w:r>
      <w:proofErr w:type="spellEnd"/>
      <w:r>
        <w:rPr>
          <w:rFonts w:ascii="Times New Roman" w:hAnsi="Times New Roman" w:cs="Times New Roman"/>
        </w:rPr>
        <w:t>-пленки: в плазме C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 скорость ее роста оказалась заметно выше, чем в 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. Моделирование воздействия ионов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и CF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(основного иона в </w:t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y</w:t>
      </w:r>
      <w:proofErr w:type="spellEnd"/>
      <w:r>
        <w:rPr>
          <w:rFonts w:ascii="Times New Roman" w:hAnsi="Times New Roman" w:cs="Times New Roman"/>
        </w:rPr>
        <w:t xml:space="preserve"> плазме) на молекулу C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 выявило особый механизм разрушения таких молекул: налетающие ионы инициируют вылет не только атомов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, но и радикалов </w:t>
      </w:r>
      <w:r>
        <w:rPr>
          <w:rFonts w:ascii="Times New Roman" w:hAnsi="Times New Roman" w:cs="Times New Roman"/>
          <w:lang w:val="en-US"/>
        </w:rPr>
        <w:t>CF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(рис. 1г) с кинетической энергией ~1–2 эВ, которые способны влиять на скорость роста пленки.</w:t>
      </w:r>
    </w:p>
    <w:p w14:paraId="4AC54AAA" w14:textId="77777777" w:rsidR="00AF762A" w:rsidRDefault="00000000">
      <w:pPr>
        <w:widowControl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выполнено за счет гранта РНФ № 23-91-06004.</w:t>
      </w:r>
    </w:p>
    <w:p w14:paraId="0DCE2F02" w14:textId="77777777" w:rsidR="00AF762A" w:rsidRDefault="00AF762A">
      <w:pPr>
        <w:widowControl w:val="0"/>
        <w:spacing w:line="20" w:lineRule="atLeast"/>
        <w:jc w:val="center"/>
        <w:rPr>
          <w:rFonts w:ascii="Times New Roman" w:hAnsi="Times New Roman" w:cs="Times New Roman"/>
        </w:rPr>
      </w:pPr>
    </w:p>
    <w:p w14:paraId="39EE0BA3" w14:textId="77777777" w:rsidR="00AF762A" w:rsidRDefault="00000000">
      <w:pPr>
        <w:widowControl w:val="0"/>
        <w:spacing w:line="20" w:lineRule="atLeast"/>
        <w:ind w:firstLine="397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7C41309F" w14:textId="77777777" w:rsidR="00AF762A" w:rsidRDefault="00000000">
      <w:pPr>
        <w:widowControl w:val="0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K.J. Kanarik, T. Lill, E.A. Hudson, et. al.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Overview of atomic layer etching in the semiconductor industry // JVST A. 2015, №33</w:t>
      </w:r>
      <w:r w:rsidRPr="001421CC">
        <w:rPr>
          <w:rFonts w:ascii="Times New Roman" w:hAnsi="Times New Roman" w:cs="Times New Roman"/>
          <w:color w:val="000000"/>
          <w:sz w:val="22"/>
          <w:szCs w:val="22"/>
          <w:lang w:val="en-US"/>
        </w:rPr>
        <w:t>(2)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. p. 020802.</w:t>
      </w:r>
    </w:p>
    <w:p w14:paraId="6BF33DBE" w14:textId="77777777" w:rsidR="00AF762A" w:rsidRDefault="00000000">
      <w:pPr>
        <w:widowControl w:val="0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v-SE"/>
        </w:rPr>
        <w:t xml:space="preserve">K.J. Kanarik, S. Tan, R.A. Gottscho.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Atomic Layer Etching: Rethinking the Art of Etch // J. Phys. Chem. Lett. 2018, </w:t>
      </w:r>
      <w:r>
        <w:rPr>
          <w:rFonts w:ascii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>(16)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. p. 4814.</w:t>
      </w:r>
    </w:p>
    <w:p w14:paraId="6D949722" w14:textId="77777777" w:rsidR="00AF762A" w:rsidRDefault="00000000">
      <w:pPr>
        <w:widowControl w:val="0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D.R.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Shibanov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D.V.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Lopaev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Y.G.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Zaseev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G.Y. Pavlov, A.T. Rakhimov. Plasma enhanced atomic layer etching in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/C4F8 inductively coupled plasma with O2 cleaning step // GDPA-2023: Abstracts of 16th International Conference. 2023. p. 109.</w:t>
      </w:r>
    </w:p>
    <w:p w14:paraId="7876EFF4" w14:textId="77777777" w:rsidR="00AF762A" w:rsidRDefault="00000000">
      <w:pPr>
        <w:widowControl w:val="0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V. V. Voevodin, A. S. Antonov, D. A. Nikitenko, et al. Supercomputer Lomonosov-2: Large Scale, Deep Monitoring and Fine Analytics for the User Community // Supercomput.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Front.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Innov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2019, </w:t>
      </w:r>
      <w:r>
        <w:rPr>
          <w:rFonts w:ascii="Times New Roman" w:hAnsi="Times New Roman" w:cs="Times New Roman"/>
          <w:color w:val="000000"/>
          <w:sz w:val="22"/>
          <w:szCs w:val="22"/>
        </w:rPr>
        <w:t>№6(2)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. p. 4.</w:t>
      </w:r>
    </w:p>
    <w:p w14:paraId="05E0668B" w14:textId="77777777" w:rsidR="00AF762A" w:rsidRDefault="00000000">
      <w:pPr>
        <w:widowControl w:val="0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G. Kresse and D. Joubert. From ultrasoft pseudopotentials to the projector augmented-wave method // Phys.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B 1999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№59(3)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p. </w:t>
      </w:r>
      <w:r>
        <w:rPr>
          <w:rFonts w:ascii="Times New Roman" w:hAnsi="Times New Roman" w:cs="Times New Roman"/>
          <w:color w:val="000000"/>
          <w:sz w:val="22"/>
          <w:szCs w:val="22"/>
        </w:rPr>
        <w:t>1758.</w:t>
      </w:r>
    </w:p>
    <w:sectPr w:rsidR="00AF762A">
      <w:pgSz w:w="11906" w:h="16838"/>
      <w:pgMar w:top="1134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imbus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Sans;Calib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3E4F"/>
    <w:multiLevelType w:val="multilevel"/>
    <w:tmpl w:val="1C843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332C3D"/>
    <w:multiLevelType w:val="multilevel"/>
    <w:tmpl w:val="D7C419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7755234">
    <w:abstractNumId w:val="1"/>
  </w:num>
  <w:num w:numId="2" w16cid:durableId="4687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62A"/>
    <w:rsid w:val="00035D6C"/>
    <w:rsid w:val="000A53AC"/>
    <w:rsid w:val="001421CC"/>
    <w:rsid w:val="001B0882"/>
    <w:rsid w:val="001E1080"/>
    <w:rsid w:val="003A74A5"/>
    <w:rsid w:val="00404F93"/>
    <w:rsid w:val="00415BC1"/>
    <w:rsid w:val="00550E07"/>
    <w:rsid w:val="005F7410"/>
    <w:rsid w:val="006270FF"/>
    <w:rsid w:val="00735B79"/>
    <w:rsid w:val="007E1005"/>
    <w:rsid w:val="00902D5F"/>
    <w:rsid w:val="009B1F39"/>
    <w:rsid w:val="009D6783"/>
    <w:rsid w:val="00A67C7C"/>
    <w:rsid w:val="00AE5CCF"/>
    <w:rsid w:val="00AF762A"/>
    <w:rsid w:val="00BB08F1"/>
    <w:rsid w:val="00CC6793"/>
    <w:rsid w:val="00D11946"/>
    <w:rsid w:val="00E6689B"/>
    <w:rsid w:val="00EA510D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</o:shapelayout>
  </w:shapeDefaults>
  <w:decimalSymbol w:val=","/>
  <w:listSeparator w:val=";"/>
  <w14:docId w14:val="7B906A56"/>
  <w15:docId w15:val="{4997B12E-FACC-4696-96CB-E1B9BED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imbus Sans" w:hAnsi="Calibri" w:cs="Nimbus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styleId="a3">
    <w:name w:val="Emphasis"/>
    <w:qFormat/>
    <w:rPr>
      <w:i/>
      <w:iCs/>
    </w:rPr>
  </w:style>
  <w:style w:type="character" w:customStyle="1" w:styleId="a4">
    <w:name w:val="Верхний колонтитул Знак"/>
    <w:qFormat/>
    <w:rPr>
      <w:rFonts w:ascii="Calibri" w:hAnsi="Calibri" w:cs="Calibri"/>
      <w:sz w:val="24"/>
      <w:szCs w:val="24"/>
      <w:lang w:eastAsia="zh-CN"/>
    </w:rPr>
  </w:style>
  <w:style w:type="character" w:customStyle="1" w:styleId="a5">
    <w:name w:val="Нижний колонтитул Знак"/>
    <w:qFormat/>
    <w:rPr>
      <w:rFonts w:ascii="Calibri" w:hAnsi="Calibri" w:cs="Calibri"/>
      <w:sz w:val="24"/>
      <w:szCs w:val="24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imbus Sans;Calibri" w:hAnsi="Liberation Sans" w:cs="Nimbus Sans;Calibri"/>
      <w:sz w:val="28"/>
      <w:szCs w:val="28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Название объекта1"/>
    <w:basedOn w:val="a"/>
    <w:next w:val="a"/>
    <w:qFormat/>
    <w:pPr>
      <w:spacing w:after="200"/>
    </w:pPr>
    <w:rPr>
      <w:i/>
      <w:iCs/>
      <w:color w:val="44546A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Александр Соловых</cp:lastModifiedBy>
  <cp:revision>18</cp:revision>
  <dcterms:created xsi:type="dcterms:W3CDTF">2025-03-09T12:57:00Z</dcterms:created>
  <dcterms:modified xsi:type="dcterms:W3CDTF">2025-03-09T14:39:00Z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2025-03-03T12:49:00Z</dcterms:created>
  <dc:creator>Александр Соловых</dc:creator>
  <dc:description/>
  <dc:language>ru-RU</dc:language>
  <cp:lastModifiedBy/>
  <dcterms:modified xsi:type="dcterms:W3CDTF">2025-03-09T18:53:23Z</dcterms:modified>
  <cp:revision>8</cp:revision>
  <dc:subject/>
  <dc:title>Механизмы образования, модификации и разрушения CFx-пленок в</dc:title>
</cp:coreProperties>
</file>