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hd w:val="clear" w:color="auto" w:fill="ffffff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Моделирование рассеяния плоской электромагнитной волны после падения на объект простой формы методом физической оптики</w:t>
      </w:r>
    </w:p>
    <w:p w14:paraId="00000002">
      <w:pPr>
        <w:shd w:val="clear" w:color="auto" w:fill="ffffff"/>
        <w:jc w:val="center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Жиров А.В.</w:t>
      </w:r>
    </w:p>
    <w:p w14:paraId="00000003">
      <w:pPr>
        <w:shd w:val="clear" w:color="auto" w:fill="ffffff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Студент</w:t>
      </w:r>
    </w:p>
    <w:p w14:paraId="00000004">
      <w:pPr>
        <w:shd w:val="clear" w:color="auto" w:fill="ffffff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14:paraId="00000005">
      <w:pPr>
        <w:shd w:val="clear" w:color="auto" w:fill="ffffff"/>
        <w:spacing w:line="240" w:lineRule="auto"/>
        <w:jc w:val="center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E-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mail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: zhirovartemiy@gmail.com</w:t>
      </w:r>
    </w:p>
    <w:p w14:paraId="00000006">
      <w:pPr>
        <w:shd w:val="clear" w:color="auto" w:fill="ffffff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В настоящее время задачи радиолокации, проектирования антенн и </w:t>
      </w:r>
      <w:r>
        <w:rPr>
          <w:rFonts w:ascii="Times New Roman" w:cs="Times New Roman" w:eastAsia="Times New Roman" w:hAnsi="Times New Roman"/>
          <w:sz w:val="24"/>
          <w:szCs w:val="24"/>
        </w:rPr>
        <w:t>stealth</w:t>
      </w:r>
      <w:r>
        <w:rPr>
          <w:rFonts w:ascii="Times New Roman" w:cs="Times New Roman" w:eastAsia="Times New Roman" w:hAnsi="Times New Roman"/>
          <w:sz w:val="24"/>
          <w:szCs w:val="24"/>
        </w:rPr>
        <w:t>-технологий требуют объемных вычислений при решении зад</w:t>
      </w:r>
      <w:r>
        <w:rPr>
          <w:rFonts w:ascii="Times New Roman" w:cs="Times New Roman" w:eastAsia="Times New Roman" w:hAnsi="Times New Roman"/>
          <w:sz w:val="24"/>
          <w:szCs w:val="24"/>
        </w:rPr>
        <w:t>ач электродинамики, вследствие чего предлагается возможность заменить применение точного, но затратного метода моментов методом физической оптики для рассеяния плоской электромагнитной волны, падающей на тонкую идеально проводящую пластину. Ставится задача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найти зависимость величин Е и Н электромагнитного поля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от расстояния в промежуточной зоне (зоне Френеля).</w:t>
      </w:r>
    </w:p>
    <w:p w14:paraId="00000007">
      <w:pPr>
        <w:shd w:val="clear" w:color="auto" w:fill="ffffff"/>
        <w:ind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Расчёт искомых значений представляет собой следующую процедуру: определяются токи на изучаемой поверхности (причем магнитные токи в силу идеальной пр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оводимости будут равны нулю), после вычисляются значения векторных потенциалов в исследуемой зоне, и уже затем ведется расчет электромагнитного поля в промежуточной зоне. Самым трудоемким процессом является вычисление векторных потенциалов </w:t>
      </w:r>
      <m:oMathPara>
        <m:oMathParaPr/>
        <m:oMath>
          <m:sSup>
            <m:s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p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А</m:t>
              </m:r>
            </m:e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э, м</m:t>
              </m:r>
            </m:sup>
          </m:sSup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 xml:space="preserve">,где </w:t>
      </w:r>
      <m:oMathPara>
        <m:oMathParaPr/>
        <m:oMath>
          <m:sSup>
            <m:s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p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А</m:t>
              </m:r>
            </m:e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</m:t>
              </m:r>
            </m:sup>
          </m:sSup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>- по</w:t>
      </w:r>
      <w:r>
        <w:rPr>
          <w:rFonts w:ascii="Times New Roman" w:cs="Times New Roman" w:eastAsia="Times New Roman" w:hAnsi="Times New Roman"/>
          <w:sz w:val="24"/>
          <w:szCs w:val="24"/>
        </w:rPr>
        <w:t>тенциал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электрического поля и </w:t>
      </w:r>
      <m:oMathPara>
        <m:oMathParaPr/>
        <m:oMath>
          <m:sSup>
            <m:s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p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А</m:t>
              </m:r>
            </m:e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м</m:t>
              </m:r>
            </m:sup>
          </m:sSup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>- потенциал магнитного поля:</w:t>
      </w:r>
    </w:p>
    <w:p w14:paraId="00000008">
      <w:pPr>
        <w:shd w:val="clear" w:color="auto" w:fill="ffffff"/>
        <w:ind w:firstLine="405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14:paraId="00000009">
      <w:pPr>
        <w:shd w:val="clear" w:color="auto" w:fill="ffffff"/>
        <w:ind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/>
        <m:oMath>
          <m:sSubSup>
            <m:sSub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SupPr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френ</m:t>
              </m:r>
            </m:sub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э, м</m:t>
              </m:r>
            </m:sup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A</m:t>
              </m:r>
            </m:e>
          </m:sSubSup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(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R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, 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θ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, 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φ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)=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exp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(-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ikR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)</m:t>
              </m:r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4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πR</m:t>
              </m:r>
            </m:den>
          </m:f>
          <m:nary>
            <m:nary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S</m:t>
              </m:r>
            </m:sub>
            <m:sup/>
            <m:e>
              <m:sSup>
                <m:sSupPr>
                  <m:ctrlPr>
                    <w:rPr>
                      <w:rFonts w:ascii="Cambria Math" w:cs="Times New Roman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cs="Times New Roman" w:eastAsia="Times New Roman" w:hAnsi="Cambria Math"/>
                      <w:sz w:val="24"/>
                      <w:szCs w:val="24"/>
                    </w:rPr>
                    <m:t>j</m:t>
                  </m:r>
                </m:e>
                <m:sup>
                  <m:r>
                    <m:rPr/>
                    <w:rPr>
                      <w:rFonts w:ascii="Cambria Math" w:cs="Times New Roman" w:eastAsia="Times New Roman" w:hAnsi="Cambria Math"/>
                      <w:sz w:val="24"/>
                      <w:szCs w:val="24"/>
                      <w:lang w:val="ru-RU"/>
                    </w:rPr>
                    <m:t>э, м</m:t>
                  </m:r>
                </m:sup>
              </m:sSup>
            </m:e>
          </m:nary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(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x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', 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y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')×</m:t>
          </m:r>
        </m:oMath>
      </m:oMathPara>
    </w:p>
    <w:p w14:paraId="0000000A">
      <w:pPr>
        <w:shd w:val="clear" w:color="auto" w:fill="ffffff"/>
        <w:ind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/>
        <m:oMath>
          <m:r>
            <m:rPr/>
            <w:rPr>
              <w:rFonts w:ascii="Cambria Math" w:hAnsi="Cambria Math"/>
            </w:rPr>
            <m:t>×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exp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{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ik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[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R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'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cosα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-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cs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cs="Times New Roman" w:eastAsia="Times New Roman" w:hAnsi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m:rPr/>
                    <w:rPr>
                      <w:rFonts w:ascii="Cambria Math" w:cs="Times New Roman" w:eastAsia="Times New Roman" w:hAnsi="Times New Roman"/>
                      <w:sz w:val="24"/>
                      <w:szCs w:val="24"/>
                      <w:lang w:val="en-US"/>
                    </w:rPr>
                    <m:t>'</m:t>
                  </m:r>
                </m:e>
                <m:sup>
                  <m:r>
                    <m:rPr/>
                    <w:rPr>
                      <w:rFonts w:ascii="Cambria Math" w:cs="Times New Roman" w:eastAsia="Times New Roman" w:hAnsi="Times New Roman"/>
                      <w:sz w:val="24"/>
                      <w:szCs w:val="24"/>
                      <w:lang w:val="en-US"/>
                    </w:rPr>
                    <m:t> 2</m:t>
                  </m:r>
                </m:sup>
              </m:sSup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2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R</m:t>
              </m:r>
            </m:den>
          </m:f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(1-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co</m:t>
          </m:r>
          <m:sSup>
            <m:s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p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s</m:t>
              </m:r>
            </m:e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2</m:t>
              </m:r>
            </m:sup>
          </m:sSup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α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)]}</m:t>
          </m:r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dS</m:t>
          </m:r>
        </m:oMath>
      </m:oMathPara>
    </w:p>
    <w:p w14:paraId="0000000B">
      <w:pPr>
        <w:shd w:val="clear" w:color="auto" w:fill="ffffff"/>
        <w:ind w:firstLine="405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Здесь R - расстояние от начала цилиндрических координат </w:t>
      </w:r>
      <w:r>
        <w:rPr>
          <w:rFonts w:ascii="Times New Roman" w:cs="Times New Roman" w:eastAsia="Times New Roman" w:hAnsi="Times New Roman"/>
          <w:sz w:val="24"/>
          <w:szCs w:val="24"/>
        </w:rPr>
        <w:t>координат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(в точ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ке с нулевым значением радиуса) до точки наблюдения, R’ - расстояние от начала координат до точки интегрирования, </w:t>
      </w:r>
      <m:oMathPara>
        <m:oMathParaPr/>
        <m:oMath>
          <m:sSup>
            <m:s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p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j</m:t>
              </m:r>
            </m:e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э, м</m:t>
              </m:r>
            </m:sup>
          </m:sSup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 xml:space="preserve"> - токи в пластинке, </w:t>
      </w:r>
      <m:oMathPara>
        <m:oMathParaPr/>
        <m:oMath>
          <m:r>
            <m:rPr/>
            <w:rPr>
              <w:rFonts w:ascii="Cambria Math" w:hAnsi="Cambria Math"/>
            </w:rPr>
            <m:t>α</m:t>
          </m:r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 xml:space="preserve"> - угол между векторами R и R’, а S - площадь, занимаемая токами внутри пластины.</w:t>
      </w:r>
    </w:p>
    <w:p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В цилиндрической системе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координат компоненты электромагнитного поля имеют следующий вид:</w:t>
      </w:r>
    </w:p>
    <w:p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/>
        <m:oMath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E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Θ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-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i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2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λ</m:t>
              </m:r>
            </m:den>
          </m:f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W</m:t>
          </m:r>
          <m:sSubSup>
            <m:sSub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SupPr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θ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френ</m:t>
              </m:r>
            </m:sub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</m:t>
              </m:r>
            </m:sup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A</m:t>
              </m:r>
            </m:e>
          </m:sSubSup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,     </m:t>
          </m:r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H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φ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>θ</m:t>
                  </m:r>
                </m:sub>
              </m:sSub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W</m:t>
              </m:r>
            </m:den>
          </m:f>
        </m:oMath>
      </m:oMathPara>
    </w:p>
    <w:p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m:oMathPara>
        <m:oMathParaPr/>
        <m:oMath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E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φ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-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i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2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π</m:t>
              </m:r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λ</m:t>
              </m:r>
            </m:den>
          </m:f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W</m:t>
          </m:r>
          <m:sSubSup>
            <m:sSubSup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SupPr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φ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френ</m:t>
              </m:r>
            </m:sub>
            <m:sup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э</m:t>
              </m:r>
            </m:sup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A</m:t>
              </m:r>
            </m:e>
          </m:sSubSup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,     </m:t>
          </m:r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H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θ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fPr>
            <m:num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m:t>φ</m:t>
                  </m:r>
                </m:sub>
              </m:sSub>
            </m:num>
            <m:den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W</m:t>
              </m:r>
            </m:den>
          </m:f>
        </m:oMath>
      </m:oMathPara>
    </w:p>
    <w:p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  <m:oMathPara>
        <m:oMathParaPr/>
        <m:oMath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E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R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=0,                    </m:t>
          </m:r>
          <m:sSub>
            <m:sSubPr>
              <m:ctrlPr>
                <w:rPr>
                  <w:rFonts w:ascii="Times New Roman" w:cs="Times New Roman" w:eastAsia="Times New Roman" w:hAnsi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      </m:t>
              </m:r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H</m:t>
              </m:r>
            </m:e>
            <m:sub>
              <m:r>
                <m:rPr/>
                <w:rPr>
                  <w:rFonts w:ascii="Times New Roman" w:cs="Times New Roman" w:eastAsia="Times New Roman" w:hAnsi="Times New Roman"/>
                  <w:sz w:val="24"/>
                  <w:szCs w:val="24"/>
                </w:rPr>
                <m:t>R</m:t>
              </m:r>
            </m:sub>
          </m:sSub>
          <m:r>
            <m:rPr/>
            <w:rPr>
              <w:rFonts w:ascii="Times New Roman" w:cs="Times New Roman" w:eastAsia="Times New Roman" w:hAnsi="Times New Roman"/>
              <w:sz w:val="24"/>
              <w:szCs w:val="24"/>
            </w:rPr>
            <m:t>=0         </m:t>
          </m:r>
        </m:oMath>
      </m:oMathPara>
    </w:p>
    <w:p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где W - волновое сопротивление среды, </w:t>
      </w:r>
      <m:oMathPara>
        <m:oMathParaPr/>
        <m:oMath>
          <m:r>
            <m:rPr/>
            <w:rPr>
              <w:rFonts w:ascii="Cambria Math" w:hAnsi="Cambria Math"/>
            </w:rPr>
            <m:t>λ</m:t>
          </m:r>
        </m:oMath>
      </m:oMathPara>
      <w:r>
        <w:rPr>
          <w:rFonts w:ascii="Times New Roman" w:cs="Times New Roman" w:eastAsia="Times New Roman" w:hAnsi="Times New Roman"/>
          <w:sz w:val="24"/>
          <w:szCs w:val="24"/>
        </w:rPr>
        <w:t xml:space="preserve"> - длина волны.</w:t>
      </w:r>
    </w:p>
    <w:p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Полученная методом физической </w:t>
      </w:r>
      <w:r>
        <w:rPr>
          <w:rFonts w:ascii="Times New Roman" w:cs="Times New Roman" w:eastAsia="Times New Roman" w:hAnsi="Times New Roman"/>
          <w:sz w:val="24"/>
          <w:szCs w:val="24"/>
        </w:rPr>
        <w:t>оптики  диаграмма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направленности сравнивается с результатами расчетов с помощью вычислительного комплекса FEKO, и позволяет</w:t>
      </w:r>
    </w:p>
    <w:p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оценить возможность использования данного подхода для </w:t>
      </w:r>
      <w:r>
        <w:rPr>
          <w:rFonts w:ascii="Times New Roman" w:cs="Times New Roman" w:eastAsia="Times New Roman" w:hAnsi="Times New Roman"/>
          <w:sz w:val="24"/>
          <w:szCs w:val="24"/>
        </w:rPr>
        <w:t>ускорения  электродинамических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расчетов.</w:t>
      </w:r>
    </w:p>
    <w:p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14:paraId="00000017">
      <w:pPr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Литература</w:t>
      </w:r>
    </w:p>
    <w:p w14:paraId="00000018">
      <w:pPr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Марков Г. Т., Сазонов Д. М., “Антенны”, Изд. 2-е, </w:t>
      </w:r>
      <w:r>
        <w:rPr>
          <w:rFonts w:ascii="Times New Roman" w:cs="Times New Roman" w:eastAsia="Times New Roman" w:hAnsi="Times New Roman"/>
          <w:sz w:val="24"/>
          <w:szCs w:val="24"/>
        </w:rPr>
        <w:t>перераб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доп. М., “Энергия”, 1975</w:t>
      </w:r>
    </w:p>
    <w:p w14:paraId="00000019">
      <w:pPr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Sadasiva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 M. Rao, Donald R. Wilton, Allen W. Glisson, “Electromagnetic Scattering by Surfaces of Arbitrary Shape” // IEEE TRANSACTIONS ON ANTENNAS AN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D PROPAGATION, VOL.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AP-30, NO. 3, 1982, p. 10 </w:t>
      </w:r>
    </w:p>
    <w:sectPr>
      <w:pgSz w:w="11909" w:h="16834"/>
      <w:pgMar w:top="1440" w:right="1440" w:bottom="1440" w:left="1440" w:header="1133" w:footer="113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 Math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BB"/>
    <w:rsid w:val="003C27BB"/>
    <w:rsid w:val="00D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A9A"/>
  <w15:docId w15:val="{59106E09-FE4B-4540-863A-E2F75B79E78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 w:bidi="ar-SA" w:eastAsia="ru-RU"/>
      </w:rPr>
    </w:rPrDefault>
    <w:pPrDefault>
      <w:pPr>
        <w:spacing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pPr>
      <w:keepNext w:val="on"/>
      <w:keepLines w:val="on"/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