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7EE1">
      <w:pPr>
        <w:ind w:firstLine="426"/>
        <w:jc w:val="center"/>
        <w:rPr>
          <w:rStyle w:val="5"/>
          <w:b/>
          <w:bCs/>
          <w:i w:val="0"/>
          <w:iCs w:val="0"/>
          <w:color w:val="auto"/>
          <w:shd w:val="clear" w:color="auto" w:fill="FFFFFF"/>
        </w:rPr>
      </w:pPr>
      <w:bookmarkStart w:id="0" w:name="_GoBack"/>
      <w:bookmarkEnd w:id="0"/>
      <w:r>
        <w:rPr>
          <w:rStyle w:val="5"/>
          <w:b/>
          <w:bCs/>
          <w:i w:val="0"/>
          <w:iCs w:val="0"/>
          <w:color w:val="auto"/>
          <w:shd w:val="clear" w:color="auto" w:fill="FFFFFF"/>
        </w:rPr>
        <w:t xml:space="preserve">Оценка влияния экспрессии гена </w:t>
      </w:r>
      <w:r>
        <w:rPr>
          <w:rStyle w:val="5"/>
          <w:b/>
          <w:bCs/>
          <w:i w:val="0"/>
          <w:iCs w:val="0"/>
          <w:color w:val="auto"/>
          <w:shd w:val="clear" w:color="auto" w:fill="FFFFFF"/>
          <w:lang w:val="en-US"/>
        </w:rPr>
        <w:t>KCNN</w:t>
      </w:r>
      <w:r>
        <w:rPr>
          <w:rStyle w:val="5"/>
          <w:b/>
          <w:bCs/>
          <w:i w:val="0"/>
          <w:iCs w:val="0"/>
          <w:color w:val="auto"/>
          <w:shd w:val="clear" w:color="auto" w:fill="FFFFFF"/>
        </w:rPr>
        <w:t>4 на электрофизиологические параметры нейронов.</w:t>
      </w:r>
    </w:p>
    <w:p w14:paraId="76A5E995">
      <w:pPr>
        <w:ind w:firstLine="426"/>
        <w:jc w:val="center"/>
        <w:rPr>
          <w:rStyle w:val="5"/>
          <w:b/>
          <w:bCs/>
          <w:color w:val="auto"/>
          <w:u w:val="single"/>
          <w:shd w:val="clear" w:color="auto" w:fill="FFFFFF"/>
          <w:vertAlign w:val="superscript"/>
        </w:rPr>
      </w:pPr>
      <w:r>
        <w:rPr>
          <w:rStyle w:val="5"/>
          <w:b/>
          <w:bCs/>
          <w:color w:val="auto"/>
          <w:u w:val="single"/>
          <w:shd w:val="clear" w:color="auto" w:fill="FFFFFF"/>
        </w:rPr>
        <w:t>Обласов И.А.</w:t>
      </w:r>
      <w:r>
        <w:rPr>
          <w:rStyle w:val="5"/>
          <w:b/>
          <w:bCs/>
          <w:color w:val="auto"/>
          <w:u w:val="single"/>
          <w:shd w:val="clear" w:color="auto" w:fill="FFFFFF"/>
          <w:vertAlign w:val="superscript"/>
        </w:rPr>
        <w:t>1</w:t>
      </w:r>
      <w:r>
        <w:rPr>
          <w:rStyle w:val="5"/>
          <w:b/>
          <w:bCs/>
          <w:color w:val="auto"/>
          <w:shd w:val="clear" w:color="auto" w:fill="FFFFFF"/>
        </w:rPr>
        <w:t xml:space="preserve"> , Никитин Е.С</w:t>
      </w:r>
      <w:r>
        <w:rPr>
          <w:rStyle w:val="5"/>
          <w:b/>
          <w:bCs/>
          <w:color w:val="auto"/>
          <w:shd w:val="clear" w:color="auto" w:fill="FFFFFF"/>
          <w:vertAlign w:val="superscript"/>
        </w:rPr>
        <w:t>2</w:t>
      </w:r>
    </w:p>
    <w:p w14:paraId="1F83D4FD">
      <w:pPr>
        <w:ind w:firstLine="426"/>
        <w:jc w:val="center"/>
        <w:rPr>
          <w:rStyle w:val="5"/>
          <w:color w:val="auto"/>
          <w:shd w:val="clear" w:color="auto" w:fill="FFFFFF"/>
        </w:rPr>
      </w:pPr>
      <w:r>
        <w:rPr>
          <w:rStyle w:val="5"/>
          <w:color w:val="auto"/>
          <w:shd w:val="clear" w:color="auto" w:fill="FFFFFF"/>
          <w:vertAlign w:val="superscript"/>
        </w:rPr>
        <w:t>1</w:t>
      </w:r>
      <w:r>
        <w:rPr>
          <w:rStyle w:val="5"/>
          <w:color w:val="auto"/>
          <w:shd w:val="clear" w:color="auto" w:fill="FFFFFF"/>
        </w:rPr>
        <w:t xml:space="preserve">студент, </w:t>
      </w:r>
      <w:r>
        <w:rPr>
          <w:rStyle w:val="5"/>
          <w:color w:val="auto"/>
          <w:shd w:val="clear" w:color="auto" w:fill="FFFFFF"/>
          <w:vertAlign w:val="superscript"/>
        </w:rPr>
        <w:t>2</w:t>
      </w:r>
      <w:r>
        <w:rPr>
          <w:rStyle w:val="5"/>
          <w:color w:val="auto"/>
          <w:shd w:val="clear" w:color="auto" w:fill="FFFFFF"/>
        </w:rPr>
        <w:t>в.н.с</w:t>
      </w:r>
    </w:p>
    <w:p w14:paraId="595CEF0C">
      <w:pPr>
        <w:spacing w:after="200"/>
        <w:ind w:firstLine="426"/>
        <w:jc w:val="center"/>
        <w:rPr>
          <w:rStyle w:val="5"/>
          <w:color w:val="auto"/>
          <w:shd w:val="clear" w:color="auto" w:fill="FFFFFF"/>
        </w:rPr>
      </w:pPr>
      <w:r>
        <w:rPr>
          <w:rStyle w:val="5"/>
          <w:color w:val="auto"/>
          <w:shd w:val="clear" w:color="auto" w:fill="FFFFFF"/>
          <w:vertAlign w:val="superscript"/>
        </w:rPr>
        <w:t>1</w:t>
      </w:r>
      <w:r>
        <w:rPr>
          <w:rStyle w:val="5"/>
          <w:color w:val="auto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16"/>
          <w:i/>
          <w:iCs/>
          <w:color w:val="auto"/>
          <w:shd w:val="clear" w:color="auto" w:fill="FFFFFF"/>
        </w:rPr>
        <w:t> </w:t>
      </w:r>
      <w:r>
        <w:rPr>
          <w:i/>
          <w:iCs/>
          <w:color w:val="auto"/>
          <w:shd w:val="clear" w:color="auto" w:fill="FFFFFF"/>
        </w:rPr>
        <w:br w:type="textWrapping"/>
      </w:r>
      <w:r>
        <w:rPr>
          <w:rStyle w:val="5"/>
          <w:color w:val="auto"/>
          <w:shd w:val="clear" w:color="auto" w:fill="FFFFFF"/>
        </w:rPr>
        <w:t>физический факультет, Москва, Россия</w:t>
      </w:r>
    </w:p>
    <w:p w14:paraId="5EDFFE6B">
      <w:pPr>
        <w:spacing w:after="200"/>
        <w:ind w:firstLine="426"/>
        <w:jc w:val="center"/>
        <w:rPr>
          <w:i/>
          <w:iCs/>
          <w:color w:val="auto"/>
          <w:shd w:val="clear" w:color="auto" w:fill="FFFFFF"/>
        </w:rPr>
      </w:pPr>
      <w:r>
        <w:rPr>
          <w:rStyle w:val="5"/>
          <w:color w:val="auto"/>
          <w:shd w:val="clear" w:color="auto" w:fill="FFFFFF"/>
          <w:vertAlign w:val="superscript"/>
        </w:rPr>
        <w:t>2</w:t>
      </w:r>
      <w:r>
        <w:rPr>
          <w:i/>
          <w:iCs/>
          <w:color w:val="auto"/>
          <w:shd w:val="clear" w:color="auto" w:fill="FFFFFF"/>
        </w:rPr>
        <w:t>Институт Высшей Нервной Деятельности и Нейрофизиологии РАН</w:t>
      </w:r>
    </w:p>
    <w:p w14:paraId="0FA60E01">
      <w:pPr>
        <w:spacing w:after="200"/>
        <w:ind w:firstLine="426"/>
        <w:jc w:val="center"/>
        <w:rPr>
          <w:rStyle w:val="5"/>
          <w:color w:val="auto"/>
          <w:shd w:val="clear" w:color="auto" w:fill="FFFFFF"/>
          <w:lang w:val="en-US"/>
        </w:rPr>
      </w:pPr>
      <w:r>
        <w:rPr>
          <w:rStyle w:val="5"/>
          <w:color w:val="auto"/>
          <w:shd w:val="clear" w:color="auto" w:fill="FFFFFF"/>
          <w:lang w:val="en-US"/>
        </w:rPr>
        <w:t>E–mail</w:t>
      </w:r>
      <w:r>
        <w:rPr>
          <w:rStyle w:val="5"/>
          <w:i w:val="0"/>
          <w:color w:val="auto"/>
          <w:shd w:val="clear" w:color="auto" w:fill="FFFFFF"/>
          <w:lang w:val="en-US"/>
        </w:rPr>
        <w:t xml:space="preserve">: </w:t>
      </w:r>
      <w:r>
        <w:rPr>
          <w:rStyle w:val="5"/>
          <w:iCs w:val="0"/>
          <w:color w:val="auto"/>
          <w:shd w:val="clear" w:color="auto" w:fill="FFFFFF"/>
          <w:lang w:val="en-US"/>
        </w:rPr>
        <w:fldChar w:fldCharType="begin"/>
      </w:r>
      <w:r>
        <w:rPr>
          <w:rStyle w:val="5"/>
          <w:iCs w:val="0"/>
          <w:color w:val="auto"/>
          <w:shd w:val="clear" w:color="auto" w:fill="FFFFFF"/>
          <w:lang w:val="en-US"/>
        </w:rPr>
        <w:instrText xml:space="preserve"> HYPERLINK "mailto:oblasov.ia19@physics.msu.ru" </w:instrText>
      </w:r>
      <w:r>
        <w:rPr>
          <w:rStyle w:val="5"/>
          <w:iCs w:val="0"/>
          <w:color w:val="auto"/>
          <w:shd w:val="clear" w:color="auto" w:fill="FFFFFF"/>
          <w:lang w:val="en-US"/>
        </w:rPr>
        <w:fldChar w:fldCharType="separate"/>
      </w:r>
      <w:r>
        <w:rPr>
          <w:rStyle w:val="6"/>
          <w:i/>
          <w:color w:val="auto"/>
          <w:shd w:val="clear" w:color="auto" w:fill="FFFFFF"/>
          <w:lang w:val="en-US"/>
        </w:rPr>
        <w:t>oblasov.ia19@</w:t>
      </w:r>
      <w:r>
        <w:rPr>
          <w:rStyle w:val="6"/>
          <w:i/>
          <w:iCs/>
          <w:color w:val="auto"/>
          <w:shd w:val="clear" w:color="auto" w:fill="FFFFFF"/>
          <w:lang w:val="en-US"/>
        </w:rPr>
        <w:t>physics.msu.ru</w:t>
      </w:r>
      <w:r>
        <w:rPr>
          <w:rStyle w:val="5"/>
          <w:iCs w:val="0"/>
          <w:color w:val="auto"/>
          <w:shd w:val="clear" w:color="auto" w:fill="FFFFFF"/>
          <w:lang w:val="en-US"/>
        </w:rPr>
        <w:fldChar w:fldCharType="end"/>
      </w:r>
      <w:r>
        <w:rPr>
          <w:rStyle w:val="5"/>
          <w:iCs w:val="0"/>
          <w:color w:val="auto"/>
          <w:shd w:val="clear" w:color="auto" w:fill="FFFFFF"/>
          <w:lang w:val="en-US"/>
        </w:rPr>
        <w:t>,</w:t>
      </w:r>
      <w:r>
        <w:rPr>
          <w:i/>
          <w:iCs/>
          <w:color w:val="auto"/>
          <w:shd w:val="clear" w:color="auto" w:fill="FFFFFF"/>
          <w:lang w:val="en-US"/>
        </w:rPr>
        <w:t xml:space="preserve"> </w:t>
      </w:r>
      <w:r>
        <w:rPr>
          <w:i/>
          <w:iCs/>
          <w:color w:val="auto"/>
          <w:shd w:val="clear" w:color="auto" w:fill="FFFFFF"/>
        </w:rPr>
        <w:t>тел</w:t>
      </w:r>
      <w:r>
        <w:rPr>
          <w:i/>
          <w:iCs/>
          <w:color w:val="auto"/>
          <w:shd w:val="clear" w:color="auto" w:fill="FFFFFF"/>
          <w:lang w:val="en-US"/>
        </w:rPr>
        <w:t>.:+79199409573</w:t>
      </w:r>
    </w:p>
    <w:p w14:paraId="6E08DCF8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 xml:space="preserve">Генная терапия предлагает потенциальную альтернативу хирургическому лечению эпилепсии, которая затрагивает миллионы людей и является фармакорезистентной примерно в 30% случаев. Направленная на снижение возбудимости главных нейронов, инженерная экспрессия каналов K+ была предложена в качестве лечения из-за их выдающейся способности вызывать гиперполяризацию нейронов. Однако в настоящее время остро стоит вопрос о влиянии чрезмерной экспрессии каналов K+ на физиологию клеток. Для создания терапевтического вектора на основе адено-ассоциированного вируса </w:t>
      </w:r>
      <w:r>
        <w:rPr>
          <w:bCs/>
          <w:color w:val="auto"/>
          <w:lang w:val="en-US"/>
        </w:rPr>
        <w:t>AAV</w:t>
      </w:r>
      <w:r>
        <w:rPr>
          <w:bCs/>
          <w:color w:val="auto"/>
          <w:lang w:val="ru-RU"/>
        </w:rPr>
        <w:t xml:space="preserve">2 </w:t>
      </w:r>
      <w:r>
        <w:rPr>
          <w:bCs/>
          <w:color w:val="auto"/>
        </w:rPr>
        <w:t xml:space="preserve">был выбран кальций-активируемый </w:t>
      </w:r>
      <w:r>
        <w:rPr>
          <w:bCs/>
          <w:color w:val="auto"/>
          <w:lang w:val="en-US"/>
        </w:rPr>
        <w:t>K</w:t>
      </w:r>
      <w:r>
        <w:rPr>
          <w:bCs/>
          <w:color w:val="auto"/>
        </w:rPr>
        <w:t xml:space="preserve">+ канал </w:t>
      </w:r>
      <w:r>
        <w:rPr>
          <w:bCs/>
          <w:color w:val="auto"/>
          <w:lang w:val="en-US"/>
        </w:rPr>
        <w:t>KCa</w:t>
      </w:r>
      <w:r>
        <w:rPr>
          <w:bCs/>
          <w:color w:val="auto"/>
        </w:rPr>
        <w:t xml:space="preserve">3.1, кодируемый геном </w:t>
      </w:r>
      <w:r>
        <w:rPr>
          <w:bCs/>
          <w:color w:val="auto"/>
          <w:lang w:val="en-US"/>
        </w:rPr>
        <w:t>KCNN</w:t>
      </w:r>
      <w:r>
        <w:rPr>
          <w:bCs/>
          <w:color w:val="auto"/>
        </w:rPr>
        <w:t>4. Электрофизиологические и фармакологические эксперименты на острых срезах мозга показали, что клетки, трансдуцированные KCNN4, демонстрируют медленную следовую гиперполяризацию</w:t>
      </w:r>
      <w:r>
        <w:rPr>
          <w:bCs/>
          <w:color w:val="auto"/>
          <w:lang w:val="ru-RU"/>
        </w:rPr>
        <w:t>,</w:t>
      </w:r>
      <w:r>
        <w:rPr>
          <w:bCs/>
          <w:color w:val="auto"/>
        </w:rPr>
        <w:t xml:space="preserve"> зависимую от Ca2+, которая значительно снижает способность KCNN4-экспрессирующих нейронов генерировать высокочастотные разряды потенциалов действия (ПД), не влияя на их способность к кодированию на более низких частотах. [1] </w:t>
      </w:r>
    </w:p>
    <w:p w14:paraId="0BBF05E5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>В то же время Ca2+-проницаемые AMPA-рецепторы (CP-AMPA) могут выступать в качестве  источника повышения Ca2+ в цитоплазме. Ранее было показано, что при эпилептических расстройствах функциональность CP-AMPA</w:t>
      </w:r>
      <w:r>
        <w:rPr>
          <w:bCs/>
          <w:color w:val="auto"/>
        </w:rPr>
        <w:t>-рецепторов</w:t>
      </w:r>
      <w:r>
        <w:rPr>
          <w:bCs/>
          <w:color w:val="auto"/>
        </w:rPr>
        <w:t xml:space="preserve"> усиливается. Однако, связь между каналами KCa3.1 и CP-AMPA</w:t>
      </w:r>
      <w:r>
        <w:rPr>
          <w:bCs/>
          <w:color w:val="auto"/>
        </w:rPr>
        <w:t>-рецепторов</w:t>
      </w:r>
      <w:r>
        <w:rPr>
          <w:bCs/>
          <w:color w:val="auto"/>
        </w:rPr>
        <w:t xml:space="preserve"> плохо изучена, и их потенциальное взаимодействие при эпилепсии остается неясным. Эксперименты по применению внутриклеточных блокаторов показали, что амплитуда гиперполяризации сильно зависит от CP-AMPA-рецепторов, но не от NMDA-рецепторов. В свою очередь подпороговое повышение Ca</w:t>
      </w:r>
      <w:r>
        <w:rPr>
          <w:bCs/>
          <w:color w:val="auto"/>
          <w:vertAlign w:val="superscript"/>
        </w:rPr>
        <w:t>2+</w:t>
      </w:r>
      <w:r>
        <w:rPr>
          <w:bCs/>
          <w:color w:val="auto"/>
        </w:rPr>
        <w:t xml:space="preserve">, вызванное CP-AMPA-рецепторами, может запускать каналы KCa3.1 для гиперполяризации нейронов и защиты их от судорог [2].  Однако это явление может иметь и побочные эффекты, поэтому стоит достаточно осторожно подходить к регуляции экспрессии </w:t>
      </w:r>
      <w:r>
        <w:rPr>
          <w:bCs/>
          <w:color w:val="auto"/>
          <w:lang w:val="en-US"/>
        </w:rPr>
        <w:t>KCNN</w:t>
      </w:r>
      <w:r>
        <w:rPr>
          <w:bCs/>
          <w:color w:val="auto"/>
        </w:rPr>
        <w:t xml:space="preserve">4, так как помимо позитивного эффекта могут наблюдаться и негативные изменения, вызванные </w:t>
      </w:r>
      <w:r>
        <w:rPr>
          <w:bCs/>
          <w:color w:val="auto"/>
          <w:lang w:val="ru-RU"/>
        </w:rPr>
        <w:t>чрезмерной</w:t>
      </w:r>
      <w:r>
        <w:rPr>
          <w:rFonts w:hint="default"/>
          <w:bCs/>
          <w:color w:val="auto"/>
          <w:lang w:val="ru-RU"/>
        </w:rPr>
        <w:t xml:space="preserve"> </w:t>
      </w:r>
      <w:r>
        <w:rPr>
          <w:bCs/>
          <w:color w:val="auto"/>
        </w:rPr>
        <w:t>экспрессией трансгена.</w:t>
      </w:r>
    </w:p>
    <w:p w14:paraId="0C1AB4D9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 xml:space="preserve">Ряд моделей генной терапии на грызунах дали многообещающие результаты. Однако текущие используемые методы вирусной доставки трансгенов не обеспечивают внешнего контроля над экспрессией, что может привести к перепроизводству субъединиц K+ каналов и последующим неблагоприятным эффектам. В работе мы показали, что при более высоких уровнях экспрессии количество каналов на клеточной мембране уменьшается, в то время как индуцированная экспрессия канала KCa3.1 демонстрирует пик на кривой эффективности. Кроме того, чрезмерная экспрессия KCNN4 приводит к снижению доступности других каналов на мембране и нарушению функциональности других каналов клеток [3]. В частности это приводит к нарушению электрофизиологических параметров клетки, таких как длительности ПД и быстроте нарастания ПД, что может быть критически важным для нормального функционирования ЦНС (рис.1).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 w14:paraId="0CC1E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noWrap w:val="0"/>
            <w:vAlign w:val="top"/>
          </w:tcPr>
          <w:p w14:paraId="72FCAEC0">
            <w:pPr>
              <w:widowControl w:val="0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5828665" cy="3564255"/>
                  <wp:effectExtent l="0" t="0" r="635" b="4445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665" cy="356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87F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noWrap w:val="0"/>
            <w:vAlign w:val="top"/>
          </w:tcPr>
          <w:p w14:paraId="0CDBFEDF">
            <w:pPr>
              <w:widowControl w:val="0"/>
              <w:jc w:val="both"/>
              <w:rPr>
                <w:bCs/>
                <w:color w:val="auto"/>
              </w:rPr>
            </w:pPr>
            <w:r>
              <w:rPr>
                <w:bCs/>
                <w:i/>
                <w:iCs/>
                <w:color w:val="auto"/>
              </w:rPr>
              <w:t>Рис.1 Сводные графики параметров ПД клетки при различных средних интенсивностях флуоресценции сомы.  (а)  Следовой гиперполяризации через 300 мс после пика ПД  (б) Быстроты ПД при 10 В/с (** p &lt; 0,01). (в) Быстроты ПД при 20 В/с (*** - p &lt; 0,0005). (Г) Полуширины ПД (p &lt; 0,05). На графиках дополнительно показаны коэффициенты Пирсона и линии линейной регрессии.</w:t>
            </w:r>
          </w:p>
        </w:tc>
      </w:tr>
    </w:tbl>
    <w:p w14:paraId="3212F0DF">
      <w:pPr>
        <w:ind w:firstLine="426"/>
        <w:jc w:val="both"/>
        <w:rPr>
          <w:bCs/>
          <w:color w:val="auto"/>
        </w:rPr>
      </w:pPr>
    </w:p>
    <w:p w14:paraId="6BA674ED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 xml:space="preserve">В свою очередь эксперименты на клетках </w:t>
      </w:r>
      <w:r>
        <w:rPr>
          <w:bCs/>
          <w:color w:val="auto"/>
          <w:lang w:val="en-US"/>
        </w:rPr>
        <w:t>HEK</w:t>
      </w:r>
      <w:r>
        <w:rPr>
          <w:bCs/>
          <w:color w:val="auto"/>
        </w:rPr>
        <w:t>293, которые являются удобной моделью для изучения свойств каналов благодаря малому числу собственных,  показывают что эффективность сконструированной экспрессии канала K+ в нейронах и клетках HEK293 имеет пик в зависимости от уровня экспрессии. После того, как пик пройден, дальнейшее увеличение уровней экспрессии снижает количество потенциально функциональных каналов на внешней клеточной мембране. [3]</w:t>
      </w:r>
    </w:p>
    <w:p w14:paraId="28F95D70">
      <w:pPr>
        <w:ind w:firstLine="426"/>
        <w:jc w:val="both"/>
        <w:rPr>
          <w:bCs/>
          <w:color w:val="auto"/>
        </w:rPr>
      </w:pPr>
      <w:r>
        <w:rPr>
          <w:bCs/>
          <w:color w:val="auto"/>
        </w:rPr>
        <w:t xml:space="preserve">Таким образом, ограничение </w:t>
      </w:r>
      <w:r>
        <w:rPr>
          <w:bCs/>
          <w:color w:val="auto"/>
          <w:lang w:val="ru-RU"/>
        </w:rPr>
        <w:t>чрезмерной</w:t>
      </w:r>
      <w:r>
        <w:rPr>
          <w:rFonts w:hint="default"/>
          <w:bCs/>
          <w:color w:val="auto"/>
          <w:lang w:val="ru-RU"/>
        </w:rPr>
        <w:t xml:space="preserve"> </w:t>
      </w:r>
      <w:r>
        <w:rPr>
          <w:bCs/>
          <w:color w:val="auto"/>
        </w:rPr>
        <w:t xml:space="preserve">экспрессии эффективными уровнями, которые не ставят под угрозу распределение нативных каналов и не снижают доступность кодируемого вектором белка продукта на мембране, является важной задачей при переводе моделей животных в клинику. </w:t>
      </w:r>
    </w:p>
    <w:p w14:paraId="321EB40B">
      <w:pPr>
        <w:ind w:firstLine="426"/>
        <w:jc w:val="both"/>
        <w:rPr>
          <w:bCs/>
          <w:color w:val="auto"/>
        </w:rPr>
      </w:pPr>
    </w:p>
    <w:p w14:paraId="216475FF">
      <w:pPr>
        <w:ind w:firstLine="426"/>
        <w:jc w:val="center"/>
        <w:rPr>
          <w:b/>
          <w:color w:val="auto"/>
        </w:rPr>
      </w:pPr>
      <w:r>
        <w:rPr>
          <w:b/>
          <w:color w:val="auto"/>
          <w:shd w:val="clear" w:color="auto" w:fill="FFFFFF"/>
        </w:rPr>
        <w:t>Литература</w:t>
      </w:r>
    </w:p>
    <w:p w14:paraId="47F38140">
      <w:pPr>
        <w:pStyle w:val="20"/>
        <w:numPr>
          <w:ilvl w:val="0"/>
          <w:numId w:val="1"/>
        </w:numPr>
        <w:ind w:left="709" w:hanging="283"/>
        <w:rPr>
          <w:color w:val="auto"/>
          <w:lang w:val="en-US"/>
        </w:rPr>
      </w:pPr>
      <w:r>
        <w:rPr>
          <w:rFonts w:eastAsia="Segoe UI"/>
          <w:color w:val="auto"/>
          <w:shd w:val="clear" w:color="auto" w:fill="FFFFFF"/>
          <w:lang w:val="en-US"/>
        </w:rPr>
        <w:t>Nikitin, E.S., Postnikova, T.Y., Proskurina, E.Y. et al. Overexpression of KCNN4 channels in principal neurons produces an anti-seizure effect without reducing their coding ability. </w:t>
      </w:r>
      <w:r>
        <w:rPr>
          <w:rFonts w:eastAsia="Segoe UI"/>
          <w:color w:val="auto"/>
          <w:shd w:val="clear" w:color="auto" w:fill="FFFFFF"/>
        </w:rPr>
        <w:t xml:space="preserve">Gene Ther 31, 144–153 (2024). </w:t>
      </w:r>
      <w:r>
        <w:rPr>
          <w:rFonts w:eastAsia="Segoe UI"/>
          <w:color w:val="auto"/>
          <w:shd w:val="clear" w:color="auto" w:fill="FFFFFF"/>
        </w:rPr>
        <w:fldChar w:fldCharType="begin"/>
      </w:r>
      <w:r>
        <w:rPr>
          <w:rFonts w:eastAsia="Segoe UI"/>
          <w:color w:val="auto"/>
          <w:shd w:val="clear" w:color="auto" w:fill="FFFFFF"/>
        </w:rPr>
        <w:instrText xml:space="preserve"> HYPERLINK "https://doi.org/10.1038/s41434-023-00427-9" </w:instrText>
      </w:r>
      <w:r>
        <w:rPr>
          <w:rFonts w:eastAsia="Segoe UI"/>
          <w:color w:val="auto"/>
          <w:shd w:val="clear" w:color="auto" w:fill="FFFFFF"/>
        </w:rPr>
        <w:fldChar w:fldCharType="separate"/>
      </w:r>
      <w:r>
        <w:rPr>
          <w:rStyle w:val="6"/>
          <w:rFonts w:eastAsia="Segoe UI"/>
          <w:color w:val="auto"/>
          <w:shd w:val="clear" w:color="auto" w:fill="FFFFFF"/>
        </w:rPr>
        <w:t>https://doi.org/10.1038/s41434-023-00427-9</w:t>
      </w:r>
      <w:r>
        <w:rPr>
          <w:rFonts w:eastAsia="Segoe UI"/>
          <w:color w:val="auto"/>
          <w:shd w:val="clear" w:color="auto" w:fill="FFFFFF"/>
        </w:rPr>
        <w:fldChar w:fldCharType="end"/>
      </w:r>
    </w:p>
    <w:p w14:paraId="4A4C24CC">
      <w:pPr>
        <w:pStyle w:val="20"/>
        <w:numPr>
          <w:ilvl w:val="0"/>
          <w:numId w:val="1"/>
        </w:numPr>
        <w:ind w:left="709" w:hanging="283"/>
        <w:rPr>
          <w:color w:val="auto"/>
          <w:lang w:val="en-US"/>
        </w:rPr>
      </w:pPr>
      <w:r>
        <w:rPr>
          <w:color w:val="auto"/>
          <w:lang w:val="en-US"/>
        </w:rPr>
        <w:t xml:space="preserve">Ilya Oblasov; Natalia V. Bal; Anastasya M. Shvadchenko; Polina Fortygina; Olga S. Idzhilova; Pavel M. Balaban; Evgeny S. Nikitin Ca2+-permeable AMPA receptor-dependent silencing of neurons by KCa3.1 channels during epileptiform activity //  Biochemical and Biophysical Research Communications - 2024 - Vol.  </w:t>
      </w:r>
      <w:r>
        <w:rPr>
          <w:color w:val="auto"/>
        </w:rPr>
        <w:t>С. 150434.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DOI: 10.1016/j.bbrc.2024.150434</w:t>
      </w:r>
      <w:r>
        <w:rPr>
          <w:color w:val="auto"/>
          <w:lang w:val="en-US"/>
        </w:rPr>
        <w:t xml:space="preserve"> </w:t>
      </w:r>
    </w:p>
    <w:p w14:paraId="0E671F6E">
      <w:pPr>
        <w:pStyle w:val="20"/>
        <w:numPr>
          <w:ilvl w:val="0"/>
          <w:numId w:val="1"/>
        </w:numPr>
        <w:ind w:left="709" w:hanging="283"/>
        <w:rPr>
          <w:color w:val="auto"/>
          <w:lang w:val="en-US"/>
        </w:rPr>
      </w:pPr>
      <w:r>
        <w:rPr>
          <w:rFonts w:eastAsia="Segoe UI"/>
          <w:color w:val="auto"/>
          <w:shd w:val="clear" w:color="auto" w:fill="FFFFFF"/>
          <w:lang w:val="en-US"/>
        </w:rPr>
        <w:t>Bal, N.V., Oblasov, I., Ierusalimsky, V.N. et al. Potassium KCa3.1 channel overexpression deteriorates functionality and availability of channels at the outer cellular membrane. </w:t>
      </w:r>
      <w:r>
        <w:rPr>
          <w:rFonts w:eastAsia="Segoe UI"/>
          <w:color w:val="auto"/>
          <w:shd w:val="clear" w:color="auto" w:fill="FFFFFF"/>
        </w:rPr>
        <w:t xml:space="preserve">Sci Rep 15, 4928 (2025). </w:t>
      </w:r>
      <w:r>
        <w:rPr>
          <w:rFonts w:eastAsia="Segoe UI"/>
          <w:color w:val="auto"/>
          <w:shd w:val="clear" w:color="auto" w:fill="FFFFFF"/>
        </w:rPr>
        <w:fldChar w:fldCharType="begin"/>
      </w:r>
      <w:r>
        <w:rPr>
          <w:rFonts w:eastAsia="Segoe UI"/>
          <w:color w:val="auto"/>
          <w:shd w:val="clear" w:color="auto" w:fill="FFFFFF"/>
        </w:rPr>
        <w:instrText xml:space="preserve"> HYPERLINK "https://doi.org/10.1038/s41598-025-89097-8" </w:instrText>
      </w:r>
      <w:r>
        <w:rPr>
          <w:rFonts w:eastAsia="Segoe UI"/>
          <w:color w:val="auto"/>
          <w:shd w:val="clear" w:color="auto" w:fill="FFFFFF"/>
        </w:rPr>
        <w:fldChar w:fldCharType="separate"/>
      </w:r>
      <w:r>
        <w:rPr>
          <w:rStyle w:val="6"/>
          <w:rFonts w:eastAsia="Segoe UI"/>
          <w:color w:val="auto"/>
          <w:shd w:val="clear" w:color="auto" w:fill="FFFFFF"/>
        </w:rPr>
        <w:t>https://doi.org/10.1038/s41598-025-89097-8</w:t>
      </w:r>
      <w:r>
        <w:rPr>
          <w:rFonts w:eastAsia="Segoe UI"/>
          <w:color w:val="auto"/>
          <w:shd w:val="clear" w:color="auto" w:fill="FFFFFF"/>
        </w:rPr>
        <w:fldChar w:fldCharType="end"/>
      </w:r>
    </w:p>
    <w:sectPr>
      <w:footerReference r:id="rId3" w:type="default"/>
      <w:footerReference r:id="rId4" w:type="even"/>
      <w:pgSz w:w="11906" w:h="16838"/>
      <w:pgMar w:top="1134" w:right="1361" w:bottom="1247" w:left="136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025D2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D3A1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47CAFA"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C5BBE"/>
    <w:multiLevelType w:val="multilevel"/>
    <w:tmpl w:val="126C5BBE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822C9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372A4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  <w:rsid w:val="07725E9C"/>
    <w:rsid w:val="11694E8F"/>
    <w:rsid w:val="2FDF7667"/>
    <w:rsid w:val="33D26589"/>
    <w:rsid w:val="34072E8A"/>
    <w:rsid w:val="37F742DF"/>
    <w:rsid w:val="4279430F"/>
    <w:rsid w:val="47206C08"/>
    <w:rsid w:val="51130389"/>
    <w:rsid w:val="54F26442"/>
    <w:rsid w:val="57372988"/>
    <w:rsid w:val="60FE10B7"/>
    <w:rsid w:val="653530BC"/>
    <w:rsid w:val="69AC3FE6"/>
    <w:rsid w:val="71BE10BA"/>
    <w:rsid w:val="72FE17C6"/>
    <w:rsid w:val="73942446"/>
    <w:rsid w:val="7F682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uiPriority w:val="0"/>
  </w:style>
  <w:style w:type="paragraph" w:styleId="8">
    <w:name w:val="Balloon Text"/>
    <w:basedOn w:val="1"/>
    <w:link w:val="14"/>
    <w:uiPriority w:val="0"/>
    <w:rPr>
      <w:rFonts w:ascii="Tahoma" w:hAnsi="Tahoma"/>
      <w:sz w:val="16"/>
      <w:szCs w:val="16"/>
    </w:rPr>
  </w:style>
  <w:style w:type="paragraph" w:styleId="9">
    <w:name w:val="header"/>
    <w:basedOn w:val="1"/>
    <w:link w:val="15"/>
    <w:unhideWhenUsed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2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2 Знак"/>
    <w:link w:val="2"/>
    <w:uiPriority w:val="0"/>
    <w:rPr>
      <w:b/>
      <w:bCs/>
      <w:iCs/>
      <w:sz w:val="28"/>
      <w:szCs w:val="28"/>
      <w:lang w:val="ru-RU" w:eastAsia="ru-RU" w:bidi="ar-SA"/>
    </w:rPr>
  </w:style>
  <w:style w:type="character" w:customStyle="1" w:styleId="14">
    <w:name w:val="Текст выноски Знак"/>
    <w:link w:val="8"/>
    <w:uiPriority w:val="0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link w:val="9"/>
    <w:semiHidden/>
    <w:uiPriority w:val="0"/>
    <w:rPr>
      <w:sz w:val="24"/>
      <w:szCs w:val="24"/>
    </w:rPr>
  </w:style>
  <w:style w:type="character" w:customStyle="1" w:styleId="16">
    <w:name w:val="apple-converted-space"/>
    <w:uiPriority w:val="0"/>
  </w:style>
  <w:style w:type="paragraph" w:styleId="17">
    <w:name w:val="No Spacing"/>
    <w:link w:val="18"/>
    <w:qFormat/>
    <w:uiPriority w:val="0"/>
    <w:rPr>
      <w:rFonts w:ascii="Calibri" w:hAnsi="Calibri"/>
      <w:sz w:val="22"/>
      <w:szCs w:val="22"/>
      <w:lang w:val="ru-RU" w:eastAsia="en-US" w:bidi="ar-SA"/>
    </w:rPr>
  </w:style>
  <w:style w:type="character" w:customStyle="1" w:styleId="18">
    <w:name w:val="Без интервала Знак"/>
    <w:link w:val="17"/>
    <w:uiPriority w:val="0"/>
    <w:rPr>
      <w:rFonts w:ascii="Calibri" w:hAnsi="Calibri"/>
      <w:sz w:val="22"/>
      <w:szCs w:val="22"/>
      <w:lang w:val="ru-RU" w:eastAsia="en-US" w:bidi="ar-SA"/>
    </w:rPr>
  </w:style>
  <w:style w:type="character" w:styleId="19">
    <w:name w:val="Placeholder Text"/>
    <w:semiHidden/>
    <w:uiPriority w:val="99"/>
    <w:rPr>
      <w:color w:val="80808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MSU</Company>
  <Pages>2</Pages>
  <Words>827</Words>
  <Characters>4717</Characters>
  <Lines>39</Lines>
  <Paragraphs>11</Paragraphs>
  <TotalTime>3</TotalTime>
  <ScaleCrop>false</ScaleCrop>
  <LinksUpToDate>false</LinksUpToDate>
  <CharactersWithSpaces>5533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2025-03-02T14:32:00Z</dcterms:created>
  <dc:creator>PR</dc:creator>
  <cp:lastModifiedBy>Ilya Oblasov</cp:lastModifiedBy>
  <dcterms:modified xsi:type="dcterms:W3CDTF">2025-03-02T19:55:35Z</dcterms:modified>
  <dc:title>Особенности акустического поля мощных фазированных решеток для неинвазивной ультразвуковой хирургии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F6E6628E13464C0EB506C7A9A78E7B1C_13</vt:lpwstr>
  </property>
</Properties>
</file>