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CD72" w14:textId="234CF675" w:rsidR="00BF3912" w:rsidRPr="00730DEA" w:rsidRDefault="00EB0723" w:rsidP="007310D4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Электронная структура и оптические свойства </w:t>
      </w:r>
      <w:proofErr w:type="spellStart"/>
      <w:r>
        <w:rPr>
          <w:rFonts w:cs="Times New Roman"/>
          <w:b/>
          <w:bCs/>
          <w:szCs w:val="24"/>
        </w:rPr>
        <w:t>толуилата</w:t>
      </w:r>
      <w:proofErr w:type="spellEnd"/>
      <w:r>
        <w:rPr>
          <w:rFonts w:cs="Times New Roman"/>
          <w:b/>
          <w:bCs/>
          <w:szCs w:val="24"/>
        </w:rPr>
        <w:t xml:space="preserve"> европия</w:t>
      </w:r>
    </w:p>
    <w:p w14:paraId="60F1589D" w14:textId="1F4C2AEF" w:rsidR="00431F91" w:rsidRPr="00730DEA" w:rsidRDefault="00EB0723" w:rsidP="007310D4">
      <w:pPr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proofErr w:type="spellStart"/>
      <w:r>
        <w:rPr>
          <w:rFonts w:cs="Times New Roman"/>
          <w:b/>
          <w:bCs/>
          <w:i/>
          <w:iCs/>
          <w:szCs w:val="24"/>
        </w:rPr>
        <w:t>Себто</w:t>
      </w:r>
      <w:proofErr w:type="spellEnd"/>
      <w:r w:rsidR="00431F91" w:rsidRPr="00730DEA">
        <w:rPr>
          <w:rFonts w:cs="Times New Roman"/>
          <w:b/>
          <w:bCs/>
          <w:i/>
          <w:iCs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>М</w:t>
      </w:r>
      <w:r w:rsidR="00431F91" w:rsidRPr="00730DEA"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>А</w:t>
      </w:r>
      <w:r w:rsidR="00431F91" w:rsidRPr="00730DEA">
        <w:rPr>
          <w:rFonts w:cs="Times New Roman"/>
          <w:b/>
          <w:bCs/>
          <w:i/>
          <w:iCs/>
          <w:szCs w:val="24"/>
        </w:rPr>
        <w:t>.</w:t>
      </w:r>
      <w:r w:rsidR="00431F91" w:rsidRPr="00730DEA">
        <w:rPr>
          <w:rFonts w:cs="Times New Roman"/>
          <w:b/>
          <w:bCs/>
          <w:szCs w:val="24"/>
          <w:vertAlign w:val="superscript"/>
        </w:rPr>
        <w:t>1</w:t>
      </w:r>
      <w:r w:rsidR="00431F91" w:rsidRPr="00730DEA">
        <w:rPr>
          <w:rFonts w:cs="Times New Roman"/>
          <w:b/>
          <w:bCs/>
          <w:szCs w:val="24"/>
        </w:rPr>
        <w:t>,</w:t>
      </w:r>
      <w:r w:rsidR="00E352DA" w:rsidRPr="00730DEA"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Немтинов</w:t>
      </w:r>
      <w:proofErr w:type="spellEnd"/>
      <w:r w:rsidRPr="00730DEA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В</w:t>
      </w:r>
      <w:r w:rsidRPr="00730DEA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>И</w:t>
      </w:r>
      <w:r w:rsidRPr="00730DEA">
        <w:rPr>
          <w:rFonts w:cs="Times New Roman"/>
          <w:b/>
          <w:bCs/>
          <w:szCs w:val="24"/>
        </w:rPr>
        <w:t>.</w:t>
      </w:r>
      <w:r w:rsidRPr="00730DEA">
        <w:rPr>
          <w:rFonts w:cs="Times New Roman"/>
          <w:b/>
          <w:bCs/>
          <w:szCs w:val="24"/>
          <w:vertAlign w:val="superscript"/>
        </w:rPr>
        <w:t>1</w:t>
      </w:r>
      <w:r w:rsidRPr="00730DEA">
        <w:rPr>
          <w:rFonts w:cs="Times New Roman"/>
          <w:b/>
          <w:bCs/>
          <w:szCs w:val="24"/>
        </w:rPr>
        <w:t xml:space="preserve">, </w:t>
      </w:r>
      <w:r w:rsidR="00730DEA">
        <w:rPr>
          <w:rFonts w:cs="Times New Roman"/>
          <w:b/>
          <w:bCs/>
          <w:szCs w:val="24"/>
        </w:rPr>
        <w:t>Зубченко В.Б</w:t>
      </w:r>
      <w:r w:rsidR="00730DEA">
        <w:rPr>
          <w:rFonts w:cs="Times New Roman"/>
          <w:b/>
          <w:bCs/>
          <w:szCs w:val="24"/>
          <w:vertAlign w:val="superscript"/>
        </w:rPr>
        <w:t>1</w:t>
      </w:r>
    </w:p>
    <w:p w14:paraId="2090EA6B" w14:textId="00F1D5F8" w:rsidR="00431F91" w:rsidRPr="00431F91" w:rsidRDefault="00431F91" w:rsidP="004C17B1">
      <w:pPr>
        <w:spacing w:after="0" w:line="240" w:lineRule="auto"/>
        <w:ind w:firstLine="397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4C17B1">
        <w:rPr>
          <w:rFonts w:eastAsia="Times New Roman" w:cs="Times New Roman"/>
          <w:i/>
          <w:iCs/>
          <w:szCs w:val="24"/>
          <w:vertAlign w:val="superscript"/>
          <w:lang w:eastAsia="ru-RU"/>
        </w:rPr>
        <w:t>1</w:t>
      </w:r>
      <w:r w:rsidRPr="00431F91">
        <w:rPr>
          <w:rFonts w:eastAsia="Times New Roman" w:cs="Times New Roman"/>
          <w:i/>
          <w:iCs/>
          <w:szCs w:val="24"/>
          <w:lang w:eastAsia="ru-RU"/>
        </w:rPr>
        <w:t>студент</w:t>
      </w:r>
    </w:p>
    <w:p w14:paraId="01ED78BB" w14:textId="139496D5" w:rsidR="00431F91" w:rsidRPr="00730DEA" w:rsidRDefault="00431F91" w:rsidP="004C17B1">
      <w:pPr>
        <w:spacing w:after="0" w:line="240" w:lineRule="auto"/>
        <w:ind w:firstLine="397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4C17B1">
        <w:rPr>
          <w:rFonts w:eastAsia="Times New Roman" w:cs="Times New Roman"/>
          <w:i/>
          <w:iCs/>
          <w:szCs w:val="24"/>
          <w:lang w:eastAsia="ru-RU"/>
        </w:rPr>
        <w:t>Дальневосточный федеральный университет</w:t>
      </w:r>
      <w:r w:rsidRPr="00431F91">
        <w:rPr>
          <w:rFonts w:eastAsia="Times New Roman" w:cs="Times New Roman"/>
          <w:i/>
          <w:iCs/>
          <w:szCs w:val="24"/>
          <w:lang w:eastAsia="ru-RU"/>
        </w:rPr>
        <w:t>, </w:t>
      </w:r>
      <w:r w:rsidRPr="00431F91">
        <w:rPr>
          <w:rFonts w:eastAsia="Times New Roman" w:cs="Times New Roman"/>
          <w:i/>
          <w:iCs/>
          <w:szCs w:val="24"/>
          <w:lang w:eastAsia="ru-RU"/>
        </w:rPr>
        <w:br/>
      </w:r>
      <w:r w:rsidRPr="004C17B1">
        <w:rPr>
          <w:rFonts w:eastAsia="Times New Roman" w:cs="Times New Roman"/>
          <w:i/>
          <w:iCs/>
          <w:szCs w:val="24"/>
          <w:lang w:eastAsia="ru-RU"/>
        </w:rPr>
        <w:t>Институт наукоёмких технологий и передовых материалов</w:t>
      </w:r>
      <w:r w:rsidRPr="00431F91">
        <w:rPr>
          <w:rFonts w:eastAsia="Times New Roman" w:cs="Times New Roman"/>
          <w:i/>
          <w:iCs/>
          <w:szCs w:val="24"/>
          <w:lang w:eastAsia="ru-RU"/>
        </w:rPr>
        <w:t xml:space="preserve">, </w:t>
      </w:r>
      <w:r w:rsidRPr="004C17B1">
        <w:rPr>
          <w:rFonts w:eastAsia="Times New Roman" w:cs="Times New Roman"/>
          <w:i/>
          <w:iCs/>
          <w:szCs w:val="24"/>
          <w:lang w:eastAsia="ru-RU"/>
        </w:rPr>
        <w:t>Владивосток</w:t>
      </w:r>
      <w:r w:rsidRPr="00431F91">
        <w:rPr>
          <w:rFonts w:eastAsia="Times New Roman" w:cs="Times New Roman"/>
          <w:i/>
          <w:iCs/>
          <w:szCs w:val="24"/>
          <w:lang w:eastAsia="ru-RU"/>
        </w:rPr>
        <w:t>, Россия</w:t>
      </w:r>
      <w:r w:rsidRPr="00431F91">
        <w:rPr>
          <w:rFonts w:eastAsia="Times New Roman" w:cs="Times New Roman"/>
          <w:i/>
          <w:iCs/>
          <w:szCs w:val="24"/>
          <w:lang w:eastAsia="ru-RU"/>
        </w:rPr>
        <w:br/>
        <w:t>E–</w:t>
      </w:r>
      <w:proofErr w:type="spellStart"/>
      <w:r w:rsidRPr="00431F91">
        <w:rPr>
          <w:rFonts w:eastAsia="Times New Roman" w:cs="Times New Roman"/>
          <w:i/>
          <w:iCs/>
          <w:szCs w:val="24"/>
          <w:lang w:eastAsia="ru-RU"/>
        </w:rPr>
        <w:t>mail</w:t>
      </w:r>
      <w:proofErr w:type="spellEnd"/>
      <w:r w:rsidRPr="00431F91">
        <w:rPr>
          <w:rFonts w:eastAsia="Times New Roman" w:cs="Times New Roman"/>
          <w:i/>
          <w:iCs/>
          <w:szCs w:val="24"/>
          <w:lang w:eastAsia="ru-RU"/>
        </w:rPr>
        <w:t>:</w:t>
      </w:r>
      <w:r w:rsidRPr="004C17B1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val="en-US" w:eastAsia="ru-RU"/>
        </w:rPr>
        <w:t>sebto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eastAsia="ru-RU"/>
        </w:rPr>
        <w:t>.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val="en-US" w:eastAsia="ru-RU"/>
        </w:rPr>
        <w:t>ma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eastAsia="ru-RU"/>
        </w:rPr>
        <w:t>@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val="en-US" w:eastAsia="ru-RU"/>
        </w:rPr>
        <w:t>students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eastAsia="ru-RU"/>
        </w:rPr>
        <w:t>.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val="en-US" w:eastAsia="ru-RU"/>
        </w:rPr>
        <w:t>dvfu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eastAsia="ru-RU"/>
        </w:rPr>
        <w:t>.</w:t>
      </w:r>
      <w:r w:rsidR="00730DEA" w:rsidRPr="00730DEA">
        <w:rPr>
          <w:rFonts w:eastAsia="Times New Roman" w:cs="Times New Roman"/>
          <w:i/>
          <w:iCs/>
          <w:szCs w:val="24"/>
          <w:highlight w:val="yellow"/>
          <w:lang w:val="en-US" w:eastAsia="ru-RU"/>
        </w:rPr>
        <w:t>ru</w:t>
      </w:r>
    </w:p>
    <w:p w14:paraId="13410546" w14:textId="3C31F10B" w:rsidR="00EB0723" w:rsidRDefault="00EB0723" w:rsidP="00A13BB2">
      <w:pPr>
        <w:spacing w:after="0" w:line="240" w:lineRule="auto"/>
        <w:ind w:firstLine="397"/>
        <w:jc w:val="both"/>
        <w:rPr>
          <w:szCs w:val="28"/>
        </w:rPr>
      </w:pPr>
      <w:r w:rsidRPr="00BC7A5B">
        <w:rPr>
          <w:szCs w:val="28"/>
        </w:rPr>
        <w:t xml:space="preserve">Для целенаправленного поиска новых люминофоров с перспективными свойствами важно получение знаний их структурного, кристаллического и электронного строения для прогнозирования спектрально-люминесцентных, термолюминесцентных, </w:t>
      </w:r>
      <w:proofErr w:type="spellStart"/>
      <w:r w:rsidRPr="00BC7A5B">
        <w:rPr>
          <w:szCs w:val="28"/>
        </w:rPr>
        <w:t>термохромных</w:t>
      </w:r>
      <w:proofErr w:type="spellEnd"/>
      <w:r w:rsidRPr="00BC7A5B">
        <w:rPr>
          <w:szCs w:val="28"/>
        </w:rPr>
        <w:t xml:space="preserve"> и фотохимических характеристик.</w:t>
      </w:r>
      <w:r>
        <w:rPr>
          <w:szCs w:val="28"/>
        </w:rPr>
        <w:t xml:space="preserve"> </w:t>
      </w:r>
      <w:r w:rsidRPr="00BC7A5B">
        <w:rPr>
          <w:szCs w:val="28"/>
        </w:rPr>
        <w:t xml:space="preserve">Анализ электронной структуры и механизма передачи энергии в получаемых </w:t>
      </w:r>
      <w:proofErr w:type="spellStart"/>
      <w:r w:rsidRPr="00BC7A5B">
        <w:rPr>
          <w:szCs w:val="28"/>
        </w:rPr>
        <w:t>разнолигандных</w:t>
      </w:r>
      <w:proofErr w:type="spellEnd"/>
      <w:r w:rsidRPr="00BC7A5B">
        <w:rPr>
          <w:szCs w:val="28"/>
        </w:rPr>
        <w:t xml:space="preserve"> комплексов на основе карбоновых кислот важен для объяснения люминесцентных и фотохимических характеристик соединений</w:t>
      </w:r>
      <w:r>
        <w:rPr>
          <w:szCs w:val="28"/>
        </w:rPr>
        <w:t xml:space="preserve">. </w:t>
      </w:r>
      <w:r w:rsidRPr="00EB0723">
        <w:rPr>
          <w:szCs w:val="28"/>
        </w:rPr>
        <w:t>К одним из применяемых карбоновых кислот в качестве лигандного окружения относят производные бензойной кислоты C</w:t>
      </w:r>
      <w:r w:rsidRPr="00B932C9">
        <w:rPr>
          <w:szCs w:val="28"/>
          <w:vertAlign w:val="subscript"/>
        </w:rPr>
        <w:t>6</w:t>
      </w:r>
      <w:r w:rsidRPr="00EB0723">
        <w:rPr>
          <w:szCs w:val="28"/>
        </w:rPr>
        <w:t>H</w:t>
      </w:r>
      <w:r w:rsidRPr="00B932C9">
        <w:rPr>
          <w:szCs w:val="28"/>
          <w:vertAlign w:val="subscript"/>
        </w:rPr>
        <w:t>5</w:t>
      </w:r>
      <w:r w:rsidRPr="00EB0723">
        <w:rPr>
          <w:szCs w:val="28"/>
        </w:rPr>
        <w:t>COOH. Производная бензольной кислоты – толуоловая кислота, используется в качестве фото-активных лигандов с различными комплексообразователями, включая РЗЭ</w:t>
      </w:r>
      <w:r w:rsidR="00B932C9">
        <w:rPr>
          <w:szCs w:val="28"/>
        </w:rPr>
        <w:t xml:space="preserve"> </w:t>
      </w:r>
      <w:r w:rsidR="00B932C9" w:rsidRPr="00730DEA">
        <w:rPr>
          <w:szCs w:val="28"/>
        </w:rPr>
        <w:t>[1]</w:t>
      </w:r>
      <w:r w:rsidRPr="00EB0723">
        <w:rPr>
          <w:szCs w:val="28"/>
        </w:rPr>
        <w:t>.</w:t>
      </w:r>
      <w:r>
        <w:rPr>
          <w:szCs w:val="28"/>
        </w:rPr>
        <w:t xml:space="preserve"> Целью р</w:t>
      </w:r>
      <w:bookmarkStart w:id="0" w:name="_GoBack"/>
      <w:bookmarkEnd w:id="0"/>
      <w:r>
        <w:rPr>
          <w:szCs w:val="28"/>
        </w:rPr>
        <w:t xml:space="preserve">аботы является синтез комплексов </w:t>
      </w:r>
      <w:proofErr w:type="spellStart"/>
      <w:r>
        <w:rPr>
          <w:szCs w:val="28"/>
        </w:rPr>
        <w:t>толуилата</w:t>
      </w:r>
      <w:proofErr w:type="spellEnd"/>
      <w:r>
        <w:rPr>
          <w:szCs w:val="28"/>
        </w:rPr>
        <w:t xml:space="preserve"> европия (</w:t>
      </w:r>
      <w:proofErr w:type="spellStart"/>
      <w:r>
        <w:rPr>
          <w:szCs w:val="28"/>
          <w:lang w:val="en-US"/>
        </w:rPr>
        <w:t>Eu</w:t>
      </w:r>
      <w:proofErr w:type="spellEnd"/>
      <w:r w:rsidRPr="00730DEA">
        <w:rPr>
          <w:szCs w:val="28"/>
          <w:vertAlign w:val="superscript"/>
        </w:rPr>
        <w:t>3+</w:t>
      </w:r>
      <w:r w:rsidRPr="00730DEA">
        <w:rPr>
          <w:szCs w:val="28"/>
        </w:rPr>
        <w:t>)</w:t>
      </w:r>
      <w:r>
        <w:rPr>
          <w:szCs w:val="28"/>
        </w:rPr>
        <w:t xml:space="preserve"> с добавлением </w:t>
      </w:r>
      <w:proofErr w:type="spellStart"/>
      <w:r>
        <w:rPr>
          <w:szCs w:val="28"/>
        </w:rPr>
        <w:t>разнолигандного</w:t>
      </w:r>
      <w:proofErr w:type="spellEnd"/>
      <w:r>
        <w:rPr>
          <w:szCs w:val="28"/>
        </w:rPr>
        <w:t xml:space="preserve"> окружения, проведен полный цикл исследований, определены физико-химические свойства и выявлена эффективность </w:t>
      </w:r>
      <w:proofErr w:type="spellStart"/>
      <w:r>
        <w:rPr>
          <w:szCs w:val="28"/>
        </w:rPr>
        <w:t>светотрансформации</w:t>
      </w:r>
      <w:proofErr w:type="spellEnd"/>
      <w:r>
        <w:rPr>
          <w:szCs w:val="28"/>
        </w:rPr>
        <w:t>.</w:t>
      </w:r>
    </w:p>
    <w:p w14:paraId="7FC2755F" w14:textId="64E71EDC" w:rsidR="00EB0723" w:rsidRPr="00B932C9" w:rsidRDefault="00EB0723" w:rsidP="00A13BB2">
      <w:pPr>
        <w:spacing w:after="0" w:line="240" w:lineRule="auto"/>
        <w:ind w:firstLine="397"/>
        <w:jc w:val="both"/>
        <w:rPr>
          <w:szCs w:val="28"/>
        </w:rPr>
      </w:pPr>
      <w:r>
        <w:rPr>
          <w:szCs w:val="28"/>
        </w:rPr>
        <w:t>Приведенные оптические спектры поглощения (рисунок 1) позволяют определить основную область поглощения длин волн света</w:t>
      </w:r>
      <w:r w:rsidR="00B932C9">
        <w:rPr>
          <w:szCs w:val="28"/>
        </w:rPr>
        <w:t xml:space="preserve"> 250-300 </w:t>
      </w:r>
      <w:proofErr w:type="spellStart"/>
      <w:r w:rsidR="00B932C9">
        <w:rPr>
          <w:szCs w:val="28"/>
        </w:rPr>
        <w:t>нм</w:t>
      </w:r>
      <w:proofErr w:type="spellEnd"/>
      <w:r w:rsidR="00B932C9" w:rsidRPr="00730DEA">
        <w:rPr>
          <w:szCs w:val="28"/>
        </w:rPr>
        <w:t xml:space="preserve"> </w:t>
      </w:r>
      <w:proofErr w:type="spellStart"/>
      <w:r w:rsidR="00B932C9">
        <w:rPr>
          <w:szCs w:val="28"/>
        </w:rPr>
        <w:t>толуилатом</w:t>
      </w:r>
      <w:proofErr w:type="spellEnd"/>
      <w:r w:rsidR="00B932C9">
        <w:rPr>
          <w:szCs w:val="28"/>
        </w:rPr>
        <w:t xml:space="preserve"> европия. Эта энергия в результате внутримолекулярного переноса передается на возбужденные состояния иона </w:t>
      </w:r>
      <w:proofErr w:type="spellStart"/>
      <w:r w:rsidR="00B932C9">
        <w:rPr>
          <w:szCs w:val="28"/>
          <w:lang w:val="en-US"/>
        </w:rPr>
        <w:t>Eu</w:t>
      </w:r>
      <w:proofErr w:type="spellEnd"/>
      <w:r w:rsidR="00B932C9" w:rsidRPr="00730DEA">
        <w:rPr>
          <w:szCs w:val="28"/>
          <w:vertAlign w:val="superscript"/>
        </w:rPr>
        <w:t>3+</w:t>
      </w:r>
      <w:r w:rsidR="00B932C9" w:rsidRPr="00730DEA">
        <w:rPr>
          <w:szCs w:val="28"/>
        </w:rPr>
        <w:t xml:space="preserve"> </w:t>
      </w:r>
      <w:r w:rsidR="00B932C9">
        <w:rPr>
          <w:szCs w:val="28"/>
        </w:rPr>
        <w:t xml:space="preserve">с последующей видимой люминесценции – </w:t>
      </w:r>
      <w:r w:rsidR="00B932C9">
        <w:rPr>
          <w:szCs w:val="28"/>
          <w:lang w:val="en-US"/>
        </w:rPr>
        <w:t>LMCT</w:t>
      </w:r>
      <w:r w:rsidR="00B932C9" w:rsidRPr="00730DEA">
        <w:rPr>
          <w:szCs w:val="28"/>
        </w:rPr>
        <w:t xml:space="preserve"> (</w:t>
      </w:r>
      <w:r w:rsidR="00B932C9">
        <w:rPr>
          <w:szCs w:val="28"/>
        </w:rPr>
        <w:t xml:space="preserve">перенос заряда с </w:t>
      </w:r>
      <w:proofErr w:type="spellStart"/>
      <w:r w:rsidR="00B932C9">
        <w:rPr>
          <w:szCs w:val="28"/>
        </w:rPr>
        <w:t>лигандов</w:t>
      </w:r>
      <w:proofErr w:type="spellEnd"/>
      <w:r w:rsidR="00B932C9">
        <w:rPr>
          <w:szCs w:val="28"/>
        </w:rPr>
        <w:t xml:space="preserve"> на металл) процесс.</w:t>
      </w:r>
    </w:p>
    <w:p w14:paraId="6F73C336" w14:textId="77777777" w:rsidR="00A13BB2" w:rsidRPr="00BF3912" w:rsidRDefault="00A13BB2" w:rsidP="00A13BB2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tbl>
      <w:tblPr>
        <w:tblStyle w:val="a3"/>
        <w:tblW w:w="428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4"/>
      </w:tblGrid>
      <w:tr w:rsidR="00B932C9" w:rsidRPr="00BF3912" w14:paraId="4DC7D41F" w14:textId="10F1CE57" w:rsidTr="00B932C9">
        <w:trPr>
          <w:trHeight w:val="2933"/>
          <w:jc w:val="center"/>
        </w:trPr>
        <w:tc>
          <w:tcPr>
            <w:tcW w:w="5000" w:type="pct"/>
            <w:vAlign w:val="center"/>
          </w:tcPr>
          <w:p w14:paraId="23C4BE5E" w14:textId="5F481A5C" w:rsidR="00B932C9" w:rsidRPr="00BF3912" w:rsidRDefault="00B932C9" w:rsidP="00A13BB2">
            <w:pPr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>
              <w:rPr>
                <w:rFonts w:cs="Times New Roman"/>
                <w:b/>
                <w:bCs/>
                <w:noProof/>
                <w:kern w:val="2"/>
                <w:szCs w:val="24"/>
                <w:lang w:eastAsia="ru-RU"/>
                <w14:ligatures w14:val="standardContextual"/>
              </w:rPr>
              <w:drawing>
                <wp:inline distT="0" distB="0" distL="0" distR="0" wp14:anchorId="09AC17AD" wp14:editId="21470821">
                  <wp:extent cx="3884338" cy="2272352"/>
                  <wp:effectExtent l="0" t="0" r="1905" b="0"/>
                  <wp:docPr id="17139282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324" cy="227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F228F" w14:textId="2B8B6C33" w:rsidR="00BF3912" w:rsidRPr="00730DEA" w:rsidRDefault="00BF3912" w:rsidP="00A13BB2">
      <w:pPr>
        <w:spacing w:after="0" w:line="240" w:lineRule="auto"/>
        <w:jc w:val="center"/>
        <w:rPr>
          <w:rFonts w:cs="Times New Roman"/>
          <w:szCs w:val="24"/>
        </w:rPr>
      </w:pPr>
      <w:r w:rsidRPr="00BF3912">
        <w:rPr>
          <w:rFonts w:cs="Times New Roman"/>
          <w:szCs w:val="24"/>
        </w:rPr>
        <w:t xml:space="preserve">Рисунок 1. </w:t>
      </w:r>
      <w:r w:rsidR="00B932C9">
        <w:rPr>
          <w:rFonts w:cs="Times New Roman"/>
          <w:szCs w:val="24"/>
        </w:rPr>
        <w:t>Электронные спектры поглощения п-</w:t>
      </w:r>
      <w:proofErr w:type="spellStart"/>
      <w:r w:rsidR="00B932C9">
        <w:rPr>
          <w:rFonts w:cs="Times New Roman"/>
          <w:szCs w:val="24"/>
        </w:rPr>
        <w:t>толуиловой</w:t>
      </w:r>
      <w:proofErr w:type="spellEnd"/>
      <w:r w:rsidR="00B932C9">
        <w:rPr>
          <w:rFonts w:cs="Times New Roman"/>
          <w:szCs w:val="24"/>
        </w:rPr>
        <w:t xml:space="preserve"> кислоты (</w:t>
      </w:r>
      <w:r w:rsidR="00B932C9">
        <w:rPr>
          <w:rFonts w:cs="Times New Roman"/>
          <w:szCs w:val="24"/>
          <w:lang w:val="en-US"/>
        </w:rPr>
        <w:t>p</w:t>
      </w:r>
      <w:r w:rsidR="00B932C9" w:rsidRPr="00730DEA">
        <w:rPr>
          <w:rFonts w:cs="Times New Roman"/>
          <w:szCs w:val="24"/>
        </w:rPr>
        <w:t>-</w:t>
      </w:r>
      <w:proofErr w:type="spellStart"/>
      <w:r w:rsidR="00B932C9">
        <w:rPr>
          <w:rFonts w:cs="Times New Roman"/>
          <w:szCs w:val="24"/>
          <w:lang w:val="en-US"/>
        </w:rPr>
        <w:t>tol</w:t>
      </w:r>
      <w:proofErr w:type="spellEnd"/>
      <w:r w:rsidR="00B932C9" w:rsidRPr="00730DEA">
        <w:rPr>
          <w:rFonts w:cs="Times New Roman"/>
          <w:szCs w:val="24"/>
        </w:rPr>
        <w:t>)</w:t>
      </w:r>
      <w:r w:rsidR="00B932C9">
        <w:rPr>
          <w:rFonts w:cs="Times New Roman"/>
          <w:szCs w:val="24"/>
        </w:rPr>
        <w:t>, м-</w:t>
      </w:r>
      <w:proofErr w:type="spellStart"/>
      <w:r w:rsidR="00B932C9">
        <w:rPr>
          <w:rFonts w:cs="Times New Roman"/>
          <w:szCs w:val="24"/>
        </w:rPr>
        <w:t>толуиловой</w:t>
      </w:r>
      <w:proofErr w:type="spellEnd"/>
      <w:r w:rsidR="00D25123" w:rsidRPr="00730DEA">
        <w:rPr>
          <w:rFonts w:cs="Times New Roman"/>
          <w:szCs w:val="24"/>
        </w:rPr>
        <w:t xml:space="preserve"> </w:t>
      </w:r>
      <w:r w:rsidR="00B932C9">
        <w:rPr>
          <w:rFonts w:cs="Times New Roman"/>
          <w:szCs w:val="24"/>
        </w:rPr>
        <w:t>кислоты (</w:t>
      </w:r>
      <w:r w:rsidR="00B932C9">
        <w:rPr>
          <w:rFonts w:cs="Times New Roman"/>
          <w:szCs w:val="24"/>
          <w:lang w:val="en-US"/>
        </w:rPr>
        <w:t>m</w:t>
      </w:r>
      <w:r w:rsidR="00B932C9" w:rsidRPr="00730DEA">
        <w:rPr>
          <w:rFonts w:cs="Times New Roman"/>
          <w:szCs w:val="24"/>
        </w:rPr>
        <w:t>-</w:t>
      </w:r>
      <w:proofErr w:type="spellStart"/>
      <w:r w:rsidR="00B932C9">
        <w:rPr>
          <w:rFonts w:cs="Times New Roman"/>
          <w:szCs w:val="24"/>
          <w:lang w:val="en-US"/>
        </w:rPr>
        <w:t>tol</w:t>
      </w:r>
      <w:proofErr w:type="spellEnd"/>
      <w:r w:rsidR="00B932C9" w:rsidRPr="00730DEA">
        <w:rPr>
          <w:rFonts w:cs="Times New Roman"/>
          <w:szCs w:val="24"/>
        </w:rPr>
        <w:t xml:space="preserve">) </w:t>
      </w:r>
      <w:r w:rsidR="00B932C9">
        <w:rPr>
          <w:rFonts w:cs="Times New Roman"/>
          <w:szCs w:val="24"/>
        </w:rPr>
        <w:t xml:space="preserve">и </w:t>
      </w:r>
      <w:proofErr w:type="spellStart"/>
      <w:r w:rsidR="00B932C9">
        <w:rPr>
          <w:rFonts w:cs="Times New Roman"/>
          <w:szCs w:val="24"/>
        </w:rPr>
        <w:t>толуилат</w:t>
      </w:r>
      <w:proofErr w:type="spellEnd"/>
      <w:r w:rsidR="00B932C9">
        <w:rPr>
          <w:rFonts w:cs="Times New Roman"/>
          <w:szCs w:val="24"/>
        </w:rPr>
        <w:t xml:space="preserve"> европия (</w:t>
      </w:r>
      <w:proofErr w:type="spellStart"/>
      <w:r w:rsidR="00B932C9">
        <w:rPr>
          <w:rFonts w:cs="Times New Roman"/>
          <w:szCs w:val="24"/>
          <w:lang w:val="en-US"/>
        </w:rPr>
        <w:t>Eu</w:t>
      </w:r>
      <w:proofErr w:type="spellEnd"/>
      <w:r w:rsidR="00B932C9" w:rsidRPr="00730DEA">
        <w:rPr>
          <w:rFonts w:cs="Times New Roman"/>
          <w:szCs w:val="24"/>
        </w:rPr>
        <w:t>(</w:t>
      </w:r>
      <w:r w:rsidR="00B932C9">
        <w:rPr>
          <w:rFonts w:cs="Times New Roman"/>
          <w:szCs w:val="24"/>
          <w:lang w:val="en-US"/>
        </w:rPr>
        <w:t>m</w:t>
      </w:r>
      <w:r w:rsidR="00B932C9" w:rsidRPr="00730DEA">
        <w:rPr>
          <w:rFonts w:cs="Times New Roman"/>
          <w:szCs w:val="24"/>
        </w:rPr>
        <w:t>-</w:t>
      </w:r>
      <w:proofErr w:type="spellStart"/>
      <w:proofErr w:type="gramStart"/>
      <w:r w:rsidR="00B932C9">
        <w:rPr>
          <w:rFonts w:cs="Times New Roman"/>
          <w:szCs w:val="24"/>
          <w:lang w:val="en-US"/>
        </w:rPr>
        <w:t>tol</w:t>
      </w:r>
      <w:proofErr w:type="spellEnd"/>
      <w:r w:rsidR="00B932C9" w:rsidRPr="00730DEA">
        <w:rPr>
          <w:rFonts w:cs="Times New Roman"/>
          <w:szCs w:val="24"/>
        </w:rPr>
        <w:t>)</w:t>
      </w:r>
      <w:r w:rsidR="00B932C9" w:rsidRPr="007310D4">
        <w:rPr>
          <w:rFonts w:cs="Times New Roman"/>
          <w:szCs w:val="24"/>
          <w:vertAlign w:val="subscript"/>
          <w:lang w:val="en-US"/>
        </w:rPr>
        <w:t>n</w:t>
      </w:r>
      <w:proofErr w:type="gramEnd"/>
      <w:r w:rsidR="00B932C9" w:rsidRPr="00730DEA">
        <w:rPr>
          <w:rFonts w:cs="Times New Roman"/>
          <w:szCs w:val="24"/>
        </w:rPr>
        <w:t>)</w:t>
      </w:r>
    </w:p>
    <w:p w14:paraId="33603482" w14:textId="77777777" w:rsidR="00A13BB2" w:rsidRDefault="00A13BB2" w:rsidP="00A13BB2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p w14:paraId="32554936" w14:textId="4B50097A" w:rsidR="006644D0" w:rsidRPr="00730DEA" w:rsidRDefault="00B932C9" w:rsidP="006644D0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Получившийся комплекс практически не растворим в доступных растворителях, в координации европия полностью отсутствуют водные группы, все это усложняет процесс изучения кристаллизации для получения монокристалла. Имеющиеся данные свидетельствуют что получившейся комплекс может обладать структурой димера. </w:t>
      </w:r>
      <w:r w:rsidR="006644D0" w:rsidRPr="00730DEA">
        <w:rPr>
          <w:rFonts w:cs="Times New Roman"/>
          <w:szCs w:val="24"/>
        </w:rPr>
        <w:t xml:space="preserve">Работа выполнена при поддержке государственного задания Министерства науки и высшего образования Российской Федерации (проект № </w:t>
      </w:r>
      <w:r w:rsidR="006644D0" w:rsidRPr="006644D0">
        <w:rPr>
          <w:rFonts w:cs="Times New Roman"/>
          <w:szCs w:val="24"/>
          <w:lang w:val="en-US"/>
        </w:rPr>
        <w:t>FZNS</w:t>
      </w:r>
      <w:r w:rsidR="006644D0" w:rsidRPr="00730DEA">
        <w:rPr>
          <w:rFonts w:cs="Times New Roman"/>
          <w:szCs w:val="24"/>
        </w:rPr>
        <w:t>-2024-0013).</w:t>
      </w:r>
    </w:p>
    <w:p w14:paraId="418EBD9C" w14:textId="0CCB23B7" w:rsidR="00BF3912" w:rsidRPr="00A13BB2" w:rsidRDefault="00A13BB2" w:rsidP="00A13BB2">
      <w:pPr>
        <w:spacing w:after="0" w:line="240" w:lineRule="auto"/>
        <w:ind w:firstLine="397"/>
        <w:jc w:val="both"/>
        <w:rPr>
          <w:rFonts w:cs="Times New Roman"/>
          <w:b/>
          <w:bCs/>
          <w:szCs w:val="24"/>
        </w:rPr>
      </w:pPr>
      <w:r w:rsidRPr="00A13BB2">
        <w:rPr>
          <w:rFonts w:cs="Times New Roman"/>
          <w:b/>
          <w:bCs/>
          <w:szCs w:val="24"/>
        </w:rPr>
        <w:t>Л</w:t>
      </w:r>
      <w:r w:rsidR="00BF3912" w:rsidRPr="00A13BB2">
        <w:rPr>
          <w:rFonts w:cs="Times New Roman"/>
          <w:b/>
          <w:bCs/>
          <w:szCs w:val="24"/>
        </w:rPr>
        <w:t>итератур</w:t>
      </w:r>
      <w:r w:rsidRPr="00A13BB2">
        <w:rPr>
          <w:rFonts w:cs="Times New Roman"/>
          <w:b/>
          <w:bCs/>
          <w:szCs w:val="24"/>
        </w:rPr>
        <w:t>а</w:t>
      </w:r>
    </w:p>
    <w:p w14:paraId="21ACEF01" w14:textId="0058A24B" w:rsidR="00EB0723" w:rsidRPr="00BF3912" w:rsidRDefault="00A50352" w:rsidP="00EB0723">
      <w:pPr>
        <w:spacing w:after="0" w:line="240" w:lineRule="auto"/>
        <w:ind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7310D4" w:rsidRPr="007310D4">
        <w:rPr>
          <w:rFonts w:cs="Times New Roman"/>
          <w:szCs w:val="24"/>
        </w:rPr>
        <w:t xml:space="preserve">Шурыгин А.В., Курбатов И.А., </w:t>
      </w:r>
      <w:proofErr w:type="spellStart"/>
      <w:r w:rsidR="007310D4" w:rsidRPr="007310D4">
        <w:rPr>
          <w:rFonts w:cs="Times New Roman"/>
          <w:szCs w:val="24"/>
        </w:rPr>
        <w:t>Ривас</w:t>
      </w:r>
      <w:proofErr w:type="spellEnd"/>
      <w:r w:rsidR="007310D4" w:rsidRPr="007310D4">
        <w:rPr>
          <w:rFonts w:cs="Times New Roman"/>
          <w:szCs w:val="24"/>
        </w:rPr>
        <w:t xml:space="preserve"> Веласкес Д.А., </w:t>
      </w:r>
      <w:proofErr w:type="spellStart"/>
      <w:r w:rsidR="007310D4" w:rsidRPr="007310D4">
        <w:rPr>
          <w:rFonts w:cs="Times New Roman"/>
          <w:szCs w:val="24"/>
        </w:rPr>
        <w:t>Мазейка</w:t>
      </w:r>
      <w:proofErr w:type="spellEnd"/>
      <w:r w:rsidR="007310D4" w:rsidRPr="007310D4">
        <w:rPr>
          <w:rFonts w:cs="Times New Roman"/>
          <w:szCs w:val="24"/>
        </w:rPr>
        <w:t xml:space="preserve"> А.Н., </w:t>
      </w:r>
      <w:proofErr w:type="spellStart"/>
      <w:r w:rsidR="007310D4" w:rsidRPr="007310D4">
        <w:rPr>
          <w:rFonts w:cs="Times New Roman"/>
          <w:szCs w:val="24"/>
        </w:rPr>
        <w:t>Короченцев</w:t>
      </w:r>
      <w:proofErr w:type="spellEnd"/>
      <w:r w:rsidR="007310D4" w:rsidRPr="007310D4">
        <w:rPr>
          <w:rFonts w:cs="Times New Roman"/>
          <w:szCs w:val="24"/>
        </w:rPr>
        <w:t xml:space="preserve"> В.В., </w:t>
      </w:r>
      <w:proofErr w:type="spellStart"/>
      <w:r w:rsidR="007310D4">
        <w:rPr>
          <w:rFonts w:cs="Times New Roman"/>
          <w:szCs w:val="24"/>
        </w:rPr>
        <w:t>Немтинов</w:t>
      </w:r>
      <w:proofErr w:type="spellEnd"/>
      <w:r w:rsidR="007310D4">
        <w:rPr>
          <w:rFonts w:cs="Times New Roman"/>
          <w:szCs w:val="24"/>
        </w:rPr>
        <w:t xml:space="preserve"> В.И., </w:t>
      </w:r>
      <w:r w:rsidR="007310D4" w:rsidRPr="007310D4">
        <w:rPr>
          <w:rFonts w:cs="Times New Roman"/>
          <w:szCs w:val="24"/>
        </w:rPr>
        <w:t>Писарев С.М. Электронная структура изомеров толуиловой кислоты // Журнал структурной химии. 2025. № 2(66). С. 140581. DOI:10.26902/JSC_id140581</w:t>
      </w:r>
    </w:p>
    <w:p w14:paraId="33D90659" w14:textId="2C5D4CE1" w:rsidR="00BF3912" w:rsidRPr="00BF3912" w:rsidRDefault="00BF3912" w:rsidP="00A13BB2">
      <w:pPr>
        <w:spacing w:after="0" w:line="240" w:lineRule="auto"/>
        <w:ind w:firstLine="397"/>
        <w:jc w:val="both"/>
        <w:rPr>
          <w:rFonts w:cs="Times New Roman"/>
          <w:szCs w:val="24"/>
        </w:rPr>
      </w:pPr>
    </w:p>
    <w:sectPr w:rsidR="00BF3912" w:rsidRPr="00BF3912" w:rsidSect="00BF391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4E"/>
    <w:rsid w:val="001E3807"/>
    <w:rsid w:val="00340E96"/>
    <w:rsid w:val="003D2559"/>
    <w:rsid w:val="00431F91"/>
    <w:rsid w:val="004C17B1"/>
    <w:rsid w:val="00525351"/>
    <w:rsid w:val="005F1BD6"/>
    <w:rsid w:val="0064206C"/>
    <w:rsid w:val="006644D0"/>
    <w:rsid w:val="00730DEA"/>
    <w:rsid w:val="007310D4"/>
    <w:rsid w:val="00853AB9"/>
    <w:rsid w:val="008753C5"/>
    <w:rsid w:val="008E6B4E"/>
    <w:rsid w:val="009F7A1B"/>
    <w:rsid w:val="00A13BB2"/>
    <w:rsid w:val="00A34847"/>
    <w:rsid w:val="00A50352"/>
    <w:rsid w:val="00B25371"/>
    <w:rsid w:val="00B932C9"/>
    <w:rsid w:val="00BE27EC"/>
    <w:rsid w:val="00BF3912"/>
    <w:rsid w:val="00C46309"/>
    <w:rsid w:val="00D25123"/>
    <w:rsid w:val="00D92035"/>
    <w:rsid w:val="00E352DA"/>
    <w:rsid w:val="00EB0723"/>
    <w:rsid w:val="00F71C93"/>
    <w:rsid w:val="00F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12F1"/>
  <w15:chartTrackingRefBased/>
  <w15:docId w15:val="{87F048EA-D540-4051-87D2-C6F353D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352DA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annotation reference"/>
    <w:basedOn w:val="a0"/>
    <w:uiPriority w:val="99"/>
    <w:semiHidden/>
    <w:unhideWhenUsed/>
    <w:rsid w:val="009F7A1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F7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F7A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7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7A1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F085-C591-403E-9597-1F781816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Felicius</cp:lastModifiedBy>
  <cp:revision>5</cp:revision>
  <dcterms:created xsi:type="dcterms:W3CDTF">2025-03-02T08:30:00Z</dcterms:created>
  <dcterms:modified xsi:type="dcterms:W3CDTF">2025-03-02T12:08:00Z</dcterms:modified>
</cp:coreProperties>
</file>