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CD72" w14:textId="77777777" w:rsidR="00BF3912" w:rsidRDefault="00BF3912" w:rsidP="004C17B1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BF3912">
        <w:rPr>
          <w:rFonts w:cs="Times New Roman"/>
          <w:b/>
          <w:bCs/>
          <w:szCs w:val="24"/>
        </w:rPr>
        <w:t>Исследование поверхностного состава и структуры наноструктурированных алюмосиликатов для сорбции Ni методами XPS и EXAFS</w:t>
      </w:r>
    </w:p>
    <w:p w14:paraId="60F1589D" w14:textId="614FDC0A" w:rsidR="00431F91" w:rsidRDefault="00431F91" w:rsidP="004C17B1">
      <w:pPr>
        <w:spacing w:line="240" w:lineRule="auto"/>
        <w:jc w:val="center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Немтинов</w:t>
      </w:r>
      <w:r w:rsidRPr="00431F91">
        <w:rPr>
          <w:rFonts w:cs="Times New Roman"/>
          <w:b/>
          <w:bCs/>
          <w:i/>
          <w:iCs/>
          <w:szCs w:val="24"/>
        </w:rPr>
        <w:t xml:space="preserve"> </w:t>
      </w:r>
      <w:r>
        <w:rPr>
          <w:rFonts w:cs="Times New Roman"/>
          <w:b/>
          <w:bCs/>
          <w:i/>
          <w:iCs/>
          <w:szCs w:val="24"/>
        </w:rPr>
        <w:t>В. И</w:t>
      </w:r>
      <w:r w:rsidRPr="00431F91">
        <w:rPr>
          <w:rFonts w:cs="Times New Roman"/>
          <w:b/>
          <w:bCs/>
          <w:i/>
          <w:iCs/>
          <w:szCs w:val="24"/>
        </w:rPr>
        <w:t xml:space="preserve">. </w:t>
      </w:r>
      <w:r w:rsidRPr="00431F91">
        <w:rPr>
          <w:rFonts w:cs="Times New Roman"/>
          <w:b/>
          <w:bCs/>
          <w:szCs w:val="24"/>
          <w:vertAlign w:val="superscript"/>
        </w:rPr>
        <w:t>1</w:t>
      </w:r>
      <w:r w:rsidRPr="00431F91">
        <w:rPr>
          <w:rFonts w:cs="Times New Roman"/>
          <w:b/>
          <w:bCs/>
          <w:szCs w:val="24"/>
        </w:rPr>
        <w:t>,</w:t>
      </w:r>
      <w:r>
        <w:rPr>
          <w:rFonts w:cs="Times New Roman"/>
          <w:b/>
          <w:bCs/>
          <w:i/>
          <w:iCs/>
          <w:szCs w:val="24"/>
        </w:rPr>
        <w:t>……….</w:t>
      </w:r>
    </w:p>
    <w:p w14:paraId="2090EA6B" w14:textId="5551FD65" w:rsidR="00431F91" w:rsidRPr="00431F91" w:rsidRDefault="00431F91" w:rsidP="004C17B1">
      <w:pPr>
        <w:spacing w:after="0" w:line="240" w:lineRule="auto"/>
        <w:ind w:firstLine="397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4C17B1">
        <w:rPr>
          <w:rFonts w:eastAsia="Times New Roman" w:cs="Times New Roman"/>
          <w:i/>
          <w:iCs/>
          <w:szCs w:val="24"/>
          <w:vertAlign w:val="superscript"/>
          <w:lang w:eastAsia="ru-RU"/>
        </w:rPr>
        <w:t>1</w:t>
      </w:r>
      <w:r w:rsidRPr="00431F91">
        <w:rPr>
          <w:rFonts w:eastAsia="Times New Roman" w:cs="Times New Roman"/>
          <w:i/>
          <w:iCs/>
          <w:szCs w:val="24"/>
          <w:lang w:eastAsia="ru-RU"/>
        </w:rPr>
        <w:t>студент</w:t>
      </w:r>
      <w:r w:rsidRPr="004C17B1">
        <w:rPr>
          <w:rFonts w:eastAsia="Times New Roman" w:cs="Times New Roman"/>
          <w:i/>
          <w:iCs/>
          <w:szCs w:val="24"/>
          <w:lang w:eastAsia="ru-RU"/>
        </w:rPr>
        <w:t xml:space="preserve">, </w:t>
      </w:r>
      <w:r w:rsidRPr="004C17B1">
        <w:rPr>
          <w:rFonts w:eastAsia="Times New Roman" w:cs="Times New Roman"/>
          <w:i/>
          <w:iCs/>
          <w:szCs w:val="24"/>
          <w:vertAlign w:val="superscript"/>
          <w:lang w:eastAsia="ru-RU"/>
        </w:rPr>
        <w:t>2</w:t>
      </w:r>
      <w:r w:rsidRPr="00431F91">
        <w:rPr>
          <w:rFonts w:eastAsia="Times New Roman" w:cs="Times New Roman"/>
          <w:i/>
          <w:iCs/>
          <w:szCs w:val="24"/>
          <w:lang w:eastAsia="ru-RU"/>
        </w:rPr>
        <w:t>аспирант,</w:t>
      </w:r>
    </w:p>
    <w:p w14:paraId="01ED78BB" w14:textId="3AA59607" w:rsidR="00431F91" w:rsidRPr="004C17B1" w:rsidRDefault="00431F91" w:rsidP="004C17B1">
      <w:pPr>
        <w:spacing w:after="0" w:line="240" w:lineRule="auto"/>
        <w:ind w:firstLine="397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4C17B1">
        <w:rPr>
          <w:rFonts w:eastAsia="Times New Roman" w:cs="Times New Roman"/>
          <w:i/>
          <w:iCs/>
          <w:szCs w:val="24"/>
          <w:lang w:eastAsia="ru-RU"/>
        </w:rPr>
        <w:t>Дальневосточный федеральный университет</w:t>
      </w:r>
      <w:r w:rsidRPr="00431F91">
        <w:rPr>
          <w:rFonts w:eastAsia="Times New Roman" w:cs="Times New Roman"/>
          <w:i/>
          <w:iCs/>
          <w:szCs w:val="24"/>
          <w:lang w:eastAsia="ru-RU"/>
        </w:rPr>
        <w:t>, </w:t>
      </w:r>
      <w:r w:rsidRPr="00431F91">
        <w:rPr>
          <w:rFonts w:eastAsia="Times New Roman" w:cs="Times New Roman"/>
          <w:i/>
          <w:iCs/>
          <w:szCs w:val="24"/>
          <w:lang w:eastAsia="ru-RU"/>
        </w:rPr>
        <w:br/>
      </w:r>
      <w:r w:rsidRPr="004C17B1">
        <w:rPr>
          <w:rFonts w:eastAsia="Times New Roman" w:cs="Times New Roman"/>
          <w:i/>
          <w:iCs/>
          <w:szCs w:val="24"/>
          <w:lang w:eastAsia="ru-RU"/>
        </w:rPr>
        <w:t>Институт наукоёмких технологий и передовых материалов</w:t>
      </w:r>
      <w:r w:rsidRPr="00431F91">
        <w:rPr>
          <w:rFonts w:eastAsia="Times New Roman" w:cs="Times New Roman"/>
          <w:i/>
          <w:iCs/>
          <w:szCs w:val="24"/>
          <w:lang w:eastAsia="ru-RU"/>
        </w:rPr>
        <w:t xml:space="preserve">, </w:t>
      </w:r>
      <w:r w:rsidRPr="004C17B1">
        <w:rPr>
          <w:rFonts w:eastAsia="Times New Roman" w:cs="Times New Roman"/>
          <w:i/>
          <w:iCs/>
          <w:szCs w:val="24"/>
          <w:lang w:eastAsia="ru-RU"/>
        </w:rPr>
        <w:t>Владивосток</w:t>
      </w:r>
      <w:r w:rsidRPr="00431F91">
        <w:rPr>
          <w:rFonts w:eastAsia="Times New Roman" w:cs="Times New Roman"/>
          <w:i/>
          <w:iCs/>
          <w:szCs w:val="24"/>
          <w:lang w:eastAsia="ru-RU"/>
        </w:rPr>
        <w:t>, Россия</w:t>
      </w:r>
      <w:r w:rsidRPr="00431F91">
        <w:rPr>
          <w:rFonts w:eastAsia="Times New Roman" w:cs="Times New Roman"/>
          <w:i/>
          <w:iCs/>
          <w:szCs w:val="24"/>
          <w:lang w:eastAsia="ru-RU"/>
        </w:rPr>
        <w:br/>
        <w:t>E–</w:t>
      </w:r>
      <w:proofErr w:type="spellStart"/>
      <w:r w:rsidRPr="00431F91">
        <w:rPr>
          <w:rFonts w:eastAsia="Times New Roman" w:cs="Times New Roman"/>
          <w:i/>
          <w:iCs/>
          <w:szCs w:val="24"/>
          <w:lang w:eastAsia="ru-RU"/>
        </w:rPr>
        <w:t>mail</w:t>
      </w:r>
      <w:proofErr w:type="spellEnd"/>
      <w:r w:rsidRPr="00431F91">
        <w:rPr>
          <w:rFonts w:eastAsia="Times New Roman" w:cs="Times New Roman"/>
          <w:i/>
          <w:iCs/>
          <w:szCs w:val="24"/>
          <w:lang w:eastAsia="ru-RU"/>
        </w:rPr>
        <w:t>:</w:t>
      </w:r>
      <w:r w:rsidRPr="004C17B1">
        <w:rPr>
          <w:rFonts w:eastAsia="Times New Roman" w:cs="Times New Roman"/>
          <w:i/>
          <w:iCs/>
          <w:szCs w:val="24"/>
          <w:lang w:eastAsia="ru-RU"/>
        </w:rPr>
        <w:t xml:space="preserve"> nemtinov.vi </w:t>
      </w:r>
      <w:r w:rsidRPr="00431F91">
        <w:rPr>
          <w:rFonts w:eastAsia="Times New Roman" w:cs="Times New Roman"/>
          <w:i/>
          <w:iCs/>
          <w:szCs w:val="24"/>
          <w:lang w:eastAsia="ru-RU"/>
        </w:rPr>
        <w:t>@</w:t>
      </w:r>
      <w:r w:rsidRPr="004C17B1">
        <w:rPr>
          <w:rFonts w:eastAsia="Times New Roman" w:cs="Times New Roman"/>
          <w:i/>
          <w:iCs/>
          <w:szCs w:val="24"/>
          <w:lang w:eastAsia="ru-RU"/>
        </w:rPr>
        <w:t>dvfu</w:t>
      </w:r>
      <w:r w:rsidRPr="00431F91">
        <w:rPr>
          <w:rFonts w:eastAsia="Times New Roman" w:cs="Times New Roman"/>
          <w:i/>
          <w:iCs/>
          <w:szCs w:val="24"/>
          <w:lang w:eastAsia="ru-RU"/>
        </w:rPr>
        <w:t>.ru</w:t>
      </w:r>
    </w:p>
    <w:p w14:paraId="2B9570B9" w14:textId="77777777" w:rsidR="00BF3912" w:rsidRPr="00BF3912" w:rsidRDefault="00BF3912" w:rsidP="004C17B1">
      <w:pPr>
        <w:spacing w:line="240" w:lineRule="auto"/>
        <w:ind w:firstLine="397"/>
        <w:jc w:val="both"/>
        <w:rPr>
          <w:rFonts w:cs="Times New Roman"/>
          <w:szCs w:val="24"/>
        </w:rPr>
      </w:pPr>
      <w:r w:rsidRPr="00BF3912">
        <w:rPr>
          <w:rFonts w:cs="Times New Roman"/>
          <w:szCs w:val="24"/>
        </w:rPr>
        <w:t xml:space="preserve">Загрязнение водных сред ионами Ni представляет серьёзную экологическую проблему из-за их высокой токсичности. Наноструктурированные алюмосиликаты натрия и калия перспективны как сорбенты благодаря высокой удельной поверхности и ионообменной ёмкости [1]. Изучение их поверхностных свойств и механизмов сорбции необходимо для оптимизации материалов.  </w:t>
      </w:r>
    </w:p>
    <w:p w14:paraId="1F1228AC" w14:textId="77777777" w:rsidR="00BF3912" w:rsidRPr="00BF3912" w:rsidRDefault="00BF3912" w:rsidP="004C17B1">
      <w:pPr>
        <w:spacing w:line="240" w:lineRule="auto"/>
        <w:ind w:firstLine="397"/>
        <w:jc w:val="both"/>
        <w:rPr>
          <w:rFonts w:cs="Times New Roman"/>
          <w:szCs w:val="24"/>
        </w:rPr>
      </w:pPr>
      <w:r w:rsidRPr="00BF3912">
        <w:rPr>
          <w:rFonts w:cs="Times New Roman"/>
          <w:szCs w:val="24"/>
        </w:rPr>
        <w:t xml:space="preserve">Исследуемые образцы, главным образом, отличаются соотношением </w:t>
      </w:r>
      <w:r w:rsidRPr="00BF3912">
        <w:rPr>
          <w:rFonts w:cs="Times New Roman"/>
          <w:szCs w:val="24"/>
          <w:lang w:val="en-US"/>
        </w:rPr>
        <w:t>Si</w:t>
      </w:r>
      <w:r w:rsidRPr="00BF3912">
        <w:rPr>
          <w:rFonts w:cs="Times New Roman"/>
          <w:szCs w:val="24"/>
        </w:rPr>
        <w:t>/</w:t>
      </w:r>
      <w:r w:rsidRPr="00BF3912">
        <w:rPr>
          <w:rFonts w:cs="Times New Roman"/>
          <w:szCs w:val="24"/>
          <w:lang w:val="en-US"/>
        </w:rPr>
        <w:t>Al</w:t>
      </w:r>
      <w:r w:rsidRPr="00BF3912">
        <w:rPr>
          <w:rFonts w:cs="Times New Roman"/>
          <w:szCs w:val="24"/>
        </w:rPr>
        <w:t xml:space="preserve">, которое определяет размер пор в структуре, и обменными катионами в решётке. Целью исследования являлось определить образцы с наибольшей сорбционной ёмкостью к ионам </w:t>
      </w:r>
      <w:r w:rsidRPr="00BF3912">
        <w:rPr>
          <w:rFonts w:cs="Times New Roman"/>
          <w:szCs w:val="24"/>
          <w:lang w:val="en-US"/>
        </w:rPr>
        <w:t>Ni</w:t>
      </w:r>
      <w:r w:rsidRPr="00BF3912">
        <w:rPr>
          <w:rFonts w:cs="Times New Roman"/>
          <w:szCs w:val="24"/>
        </w:rPr>
        <w:t xml:space="preserve">. </w:t>
      </w:r>
    </w:p>
    <w:tbl>
      <w:tblPr>
        <w:tblStyle w:val="a3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052"/>
      </w:tblGrid>
      <w:tr w:rsidR="00BF3912" w:rsidRPr="00BF3912" w14:paraId="4DC7D41F" w14:textId="77777777" w:rsidTr="004C17B1">
        <w:trPr>
          <w:trHeight w:val="3160"/>
        </w:trPr>
        <w:tc>
          <w:tcPr>
            <w:tcW w:w="4253" w:type="dxa"/>
          </w:tcPr>
          <w:p w14:paraId="77917F12" w14:textId="769063FB" w:rsidR="00BF3912" w:rsidRPr="00BF3912" w:rsidRDefault="00F71C93" w:rsidP="004C17B1">
            <w:pPr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4C2191" wp14:editId="009455F3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216535</wp:posOffset>
                  </wp:positionV>
                  <wp:extent cx="2260600" cy="1743075"/>
                  <wp:effectExtent l="0" t="0" r="6350" b="9525"/>
                  <wp:wrapTight wrapText="bothSides">
                    <wp:wrapPolygon edited="0">
                      <wp:start x="0" y="0"/>
                      <wp:lineTo x="0" y="21482"/>
                      <wp:lineTo x="21479" y="21482"/>
                      <wp:lineTo x="21479" y="0"/>
                      <wp:lineTo x="0" y="0"/>
                    </wp:wrapPolygon>
                  </wp:wrapTight>
                  <wp:docPr id="104917269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912" w:rsidRPr="00BF3912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а)</w:t>
            </w:r>
          </w:p>
        </w:tc>
        <w:tc>
          <w:tcPr>
            <w:tcW w:w="5052" w:type="dxa"/>
          </w:tcPr>
          <w:p w14:paraId="23C4BE5E" w14:textId="6CD11809" w:rsidR="00BF3912" w:rsidRPr="00BF3912" w:rsidRDefault="00F71C93" w:rsidP="004C17B1">
            <w:pPr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CAA1B8" wp14:editId="211A1495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216535</wp:posOffset>
                  </wp:positionV>
                  <wp:extent cx="2184400" cy="1710690"/>
                  <wp:effectExtent l="0" t="0" r="6350" b="3810"/>
                  <wp:wrapTight wrapText="bothSides">
                    <wp:wrapPolygon edited="0">
                      <wp:start x="0" y="0"/>
                      <wp:lineTo x="0" y="21408"/>
                      <wp:lineTo x="21474" y="21408"/>
                      <wp:lineTo x="21474" y="0"/>
                      <wp:lineTo x="0" y="0"/>
                    </wp:wrapPolygon>
                  </wp:wrapTight>
                  <wp:docPr id="1062183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912" w:rsidRPr="00BF3912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б)</w:t>
            </w:r>
          </w:p>
        </w:tc>
      </w:tr>
    </w:tbl>
    <w:p w14:paraId="16AF228F" w14:textId="77777777" w:rsidR="00BF3912" w:rsidRPr="00BF3912" w:rsidRDefault="00BF3912" w:rsidP="004C17B1">
      <w:pPr>
        <w:spacing w:line="240" w:lineRule="auto"/>
        <w:jc w:val="center"/>
        <w:rPr>
          <w:rFonts w:cs="Times New Roman"/>
          <w:szCs w:val="24"/>
        </w:rPr>
      </w:pPr>
      <w:r w:rsidRPr="00BF3912">
        <w:rPr>
          <w:rFonts w:cs="Times New Roman"/>
          <w:szCs w:val="24"/>
        </w:rPr>
        <w:t xml:space="preserve">Рисунок 1. </w:t>
      </w:r>
      <w:r w:rsidRPr="00BF3912">
        <w:rPr>
          <w:rFonts w:cs="Times New Roman"/>
          <w:szCs w:val="24"/>
          <w:lang w:val="en-US"/>
        </w:rPr>
        <w:t>XPS</w:t>
      </w:r>
      <w:r w:rsidRPr="00BF3912">
        <w:rPr>
          <w:rFonts w:cs="Times New Roman"/>
          <w:szCs w:val="24"/>
        </w:rPr>
        <w:t xml:space="preserve"> спектры образца Na</w:t>
      </w:r>
      <w:r w:rsidRPr="00BF3912">
        <w:rPr>
          <w:rFonts w:cs="Times New Roman"/>
          <w:szCs w:val="24"/>
          <w:vertAlign w:val="subscript"/>
        </w:rPr>
        <w:t>2</w:t>
      </w:r>
      <w:r w:rsidRPr="00BF3912">
        <w:rPr>
          <w:rFonts w:cs="Times New Roman"/>
          <w:szCs w:val="24"/>
        </w:rPr>
        <w:t>Al</w:t>
      </w:r>
      <w:r w:rsidRPr="00BF3912">
        <w:rPr>
          <w:rFonts w:cs="Times New Roman"/>
          <w:szCs w:val="24"/>
          <w:vertAlign w:val="subscript"/>
        </w:rPr>
        <w:t>2</w:t>
      </w:r>
      <w:r w:rsidRPr="00BF3912">
        <w:rPr>
          <w:rFonts w:cs="Times New Roman"/>
          <w:szCs w:val="24"/>
        </w:rPr>
        <w:t>Si</w:t>
      </w:r>
      <w:r w:rsidRPr="00BF3912">
        <w:rPr>
          <w:rFonts w:cs="Times New Roman"/>
          <w:szCs w:val="24"/>
          <w:vertAlign w:val="subscript"/>
        </w:rPr>
        <w:t>2</w:t>
      </w:r>
      <w:r w:rsidRPr="00BF3912">
        <w:rPr>
          <w:rFonts w:cs="Times New Roman"/>
          <w:szCs w:val="24"/>
        </w:rPr>
        <w:t>O</w:t>
      </w:r>
      <w:r w:rsidRPr="00BF3912">
        <w:rPr>
          <w:rFonts w:cs="Times New Roman"/>
          <w:szCs w:val="24"/>
          <w:vertAlign w:val="subscript"/>
        </w:rPr>
        <w:t xml:space="preserve">8 </w:t>
      </w:r>
      <w:r w:rsidRPr="00BF3912">
        <w:rPr>
          <w:rFonts w:cs="Times New Roman"/>
          <w:szCs w:val="24"/>
        </w:rPr>
        <w:t xml:space="preserve">с сорбированным </w:t>
      </w:r>
      <w:r w:rsidRPr="00BF3912">
        <w:rPr>
          <w:rFonts w:cs="Times New Roman"/>
          <w:szCs w:val="24"/>
          <w:lang w:val="en-US"/>
        </w:rPr>
        <w:t>Ni</w:t>
      </w:r>
      <w:r w:rsidRPr="00BF3912">
        <w:rPr>
          <w:rFonts w:cs="Times New Roman"/>
          <w:szCs w:val="24"/>
        </w:rPr>
        <w:t xml:space="preserve"> а) обзорный (0-1300 эВ); б) линия </w:t>
      </w:r>
      <w:r w:rsidRPr="00BF3912">
        <w:rPr>
          <w:rFonts w:cs="Times New Roman"/>
          <w:szCs w:val="24"/>
          <w:lang w:val="en-US"/>
        </w:rPr>
        <w:t>Ni</w:t>
      </w:r>
      <w:r w:rsidRPr="00BF3912">
        <w:rPr>
          <w:rFonts w:cs="Times New Roman"/>
          <w:szCs w:val="24"/>
        </w:rPr>
        <w:t>2</w:t>
      </w:r>
      <w:r w:rsidRPr="00BF3912">
        <w:rPr>
          <w:rFonts w:cs="Times New Roman"/>
          <w:szCs w:val="24"/>
          <w:lang w:val="en-US"/>
        </w:rPr>
        <w:t>p</w:t>
      </w:r>
    </w:p>
    <w:p w14:paraId="2724F9C1" w14:textId="517E6FA3" w:rsidR="00F71C93" w:rsidRPr="00F71C93" w:rsidRDefault="00BF3912" w:rsidP="004C17B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BF3912">
        <w:rPr>
          <w:rFonts w:cs="Times New Roman"/>
          <w:szCs w:val="24"/>
        </w:rPr>
        <w:t xml:space="preserve">Методом XPS было получено распределение электронных состояний на поверхности серии образцов сорбентов на основе алюмосиликатов </w:t>
      </w:r>
      <w:r w:rsidRPr="00BF3912">
        <w:rPr>
          <w:rFonts w:cs="Times New Roman"/>
          <w:szCs w:val="24"/>
          <w:lang w:val="en-US"/>
        </w:rPr>
        <w:t>Na</w:t>
      </w:r>
      <w:r w:rsidRPr="00BF3912">
        <w:rPr>
          <w:rFonts w:cs="Times New Roman"/>
          <w:szCs w:val="24"/>
        </w:rPr>
        <w:t xml:space="preserve"> и </w:t>
      </w:r>
      <w:r w:rsidRPr="00BF3912">
        <w:rPr>
          <w:rFonts w:cs="Times New Roman"/>
          <w:szCs w:val="24"/>
          <w:lang w:val="en-US"/>
        </w:rPr>
        <w:t>K</w:t>
      </w:r>
      <w:r>
        <w:rPr>
          <w:rFonts w:cs="Times New Roman"/>
          <w:szCs w:val="24"/>
        </w:rPr>
        <w:t xml:space="preserve"> до и после сорбции </w:t>
      </w:r>
      <w:r>
        <w:rPr>
          <w:rFonts w:cs="Times New Roman"/>
          <w:szCs w:val="24"/>
          <w:lang w:val="en-US"/>
        </w:rPr>
        <w:t>Ni</w:t>
      </w:r>
      <w:r w:rsidRPr="00BF3912">
        <w:rPr>
          <w:rFonts w:cs="Times New Roman"/>
          <w:szCs w:val="24"/>
        </w:rPr>
        <w:t>, определен элементный состав (рис</w:t>
      </w:r>
      <w:r>
        <w:rPr>
          <w:rFonts w:cs="Times New Roman"/>
          <w:szCs w:val="24"/>
        </w:rPr>
        <w:t>.</w:t>
      </w:r>
      <w:r w:rsidRPr="00BF3912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>.а</w:t>
      </w:r>
      <w:r w:rsidRPr="00BF3912">
        <w:rPr>
          <w:rFonts w:cs="Times New Roman"/>
          <w:szCs w:val="24"/>
        </w:rPr>
        <w:t>). Анализ фотоэлектронных спектров выявил присутствие Ni</w:t>
      </w:r>
      <w:r w:rsidRPr="00BF3912">
        <w:rPr>
          <w:rFonts w:cs="Times New Roman"/>
          <w:szCs w:val="24"/>
          <w:vertAlign w:val="superscript"/>
        </w:rPr>
        <w:t>3+</w:t>
      </w:r>
      <w:r w:rsidRPr="00BF3912">
        <w:rPr>
          <w:rFonts w:cs="Times New Roman"/>
          <w:szCs w:val="24"/>
        </w:rPr>
        <w:t xml:space="preserve"> и </w:t>
      </w:r>
      <w:r w:rsidRPr="00BF3912">
        <w:rPr>
          <w:rFonts w:cs="Times New Roman"/>
          <w:szCs w:val="24"/>
          <w:lang w:val="en-US"/>
        </w:rPr>
        <w:t>Ni</w:t>
      </w:r>
      <w:r w:rsidRPr="00BF3912">
        <w:rPr>
          <w:rFonts w:cs="Times New Roman"/>
          <w:szCs w:val="24"/>
          <w:vertAlign w:val="superscript"/>
        </w:rPr>
        <w:t>2+</w:t>
      </w:r>
      <w:r w:rsidRPr="00BF3912">
        <w:rPr>
          <w:rFonts w:cs="Times New Roman"/>
          <w:szCs w:val="24"/>
        </w:rPr>
        <w:t xml:space="preserve"> на поверхности некоторых из них</w:t>
      </w:r>
      <w:r>
        <w:rPr>
          <w:rFonts w:cs="Times New Roman"/>
          <w:szCs w:val="24"/>
        </w:rPr>
        <w:t xml:space="preserve"> (рис. 1.б)</w:t>
      </w:r>
      <w:r w:rsidRPr="00BF3912">
        <w:rPr>
          <w:rFonts w:cs="Times New Roman"/>
          <w:szCs w:val="24"/>
        </w:rPr>
        <w:t xml:space="preserve">. На основе полученных данных было выявлено оптимальное соотношение </w:t>
      </w:r>
      <w:r w:rsidRPr="00BF3912">
        <w:rPr>
          <w:rFonts w:cs="Times New Roman"/>
          <w:szCs w:val="24"/>
          <w:lang w:val="en-US"/>
        </w:rPr>
        <w:t>Si</w:t>
      </w:r>
      <w:r w:rsidRPr="00BF3912">
        <w:rPr>
          <w:rFonts w:cs="Times New Roman"/>
          <w:szCs w:val="24"/>
        </w:rPr>
        <w:t>/</w:t>
      </w:r>
      <w:r w:rsidRPr="00BF3912">
        <w:rPr>
          <w:rFonts w:cs="Times New Roman"/>
          <w:szCs w:val="24"/>
          <w:lang w:val="en-US"/>
        </w:rPr>
        <w:t>Al</w:t>
      </w:r>
      <w:r w:rsidRPr="00BF391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 w:rsidR="00F71C93" w:rsidRPr="00F71C93">
        <w:rPr>
          <w:rFonts w:cs="Times New Roman"/>
          <w:szCs w:val="24"/>
        </w:rPr>
        <w:t>Na</w:t>
      </w:r>
      <w:r w:rsidR="00F71C93" w:rsidRPr="00F71C93">
        <w:rPr>
          <w:rFonts w:cs="Times New Roman"/>
          <w:szCs w:val="24"/>
          <w:vertAlign w:val="subscript"/>
        </w:rPr>
        <w:t>2</w:t>
      </w:r>
      <w:r w:rsidR="00F71C93" w:rsidRPr="00F71C93">
        <w:rPr>
          <w:rFonts w:cs="Times New Roman"/>
          <w:szCs w:val="24"/>
        </w:rPr>
        <w:t>Al</w:t>
      </w:r>
      <w:r w:rsidR="00F71C93" w:rsidRPr="00F71C93">
        <w:rPr>
          <w:rFonts w:cs="Times New Roman"/>
          <w:szCs w:val="24"/>
          <w:vertAlign w:val="subscript"/>
        </w:rPr>
        <w:t>2</w:t>
      </w:r>
      <w:r w:rsidR="00F71C93" w:rsidRPr="00F71C93">
        <w:rPr>
          <w:rFonts w:cs="Times New Roman"/>
          <w:szCs w:val="24"/>
        </w:rPr>
        <w:t>Si</w:t>
      </w:r>
      <w:r w:rsidR="00F71C93" w:rsidRPr="00F71C93">
        <w:rPr>
          <w:rFonts w:cs="Times New Roman"/>
          <w:szCs w:val="24"/>
          <w:vertAlign w:val="subscript"/>
        </w:rPr>
        <w:t>2</w:t>
      </w:r>
      <w:r w:rsidR="00F71C93" w:rsidRPr="00F71C93">
        <w:rPr>
          <w:rFonts w:cs="Times New Roman"/>
          <w:szCs w:val="24"/>
        </w:rPr>
        <w:t>O</w:t>
      </w:r>
      <w:r w:rsidR="00F71C93" w:rsidRPr="00F71C93">
        <w:rPr>
          <w:rFonts w:cs="Times New Roman"/>
          <w:szCs w:val="24"/>
          <w:vertAlign w:val="subscript"/>
        </w:rPr>
        <w:t>8</w:t>
      </w:r>
      <w:r w:rsidR="00F71C93" w:rsidRPr="00F71C93">
        <w:rPr>
          <w:rFonts w:cs="Times New Roman"/>
          <w:szCs w:val="24"/>
        </w:rPr>
        <w:t>)</w:t>
      </w:r>
    </w:p>
    <w:p w14:paraId="57CD73C8" w14:textId="508E18A2" w:rsidR="00BF3912" w:rsidRPr="00BF3912" w:rsidRDefault="00BF3912" w:rsidP="004C17B1">
      <w:pPr>
        <w:spacing w:line="240" w:lineRule="auto"/>
        <w:jc w:val="both"/>
        <w:rPr>
          <w:rFonts w:cs="Times New Roman"/>
          <w:szCs w:val="24"/>
        </w:rPr>
      </w:pPr>
      <w:r w:rsidRPr="00BF3912">
        <w:rPr>
          <w:rFonts w:cs="Times New Roman"/>
          <w:szCs w:val="24"/>
        </w:rPr>
        <w:t xml:space="preserve">с наибольшим количеством Ni на поверхности (~3,5% </w:t>
      </w:r>
      <w:r w:rsidRPr="00BF3912">
        <w:rPr>
          <w:rFonts w:cs="Times New Roman"/>
          <w:szCs w:val="24"/>
          <w:lang w:val="en-US"/>
        </w:rPr>
        <w:t>At</w:t>
      </w:r>
      <w:r w:rsidRPr="00BF3912">
        <w:rPr>
          <w:rFonts w:cs="Times New Roman"/>
          <w:szCs w:val="24"/>
        </w:rPr>
        <w:t>.).</w:t>
      </w:r>
    </w:p>
    <w:p w14:paraId="7FDFA375" w14:textId="739A8D3B" w:rsidR="00BF3912" w:rsidRPr="00BF3912" w:rsidRDefault="00BF3912" w:rsidP="004C17B1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BF3912">
        <w:rPr>
          <w:rFonts w:cs="Times New Roman"/>
          <w:szCs w:val="24"/>
        </w:rPr>
        <w:t>Результаты EXAFS показали, что Ni в структуре алюмосиликатов координирован с кислородом и алюминием,</w:t>
      </w:r>
      <w:r w:rsidR="00B25371">
        <w:rPr>
          <w:rFonts w:cs="Times New Roman"/>
          <w:szCs w:val="24"/>
        </w:rPr>
        <w:t xml:space="preserve"> </w:t>
      </w:r>
      <w:r w:rsidR="00B25371" w:rsidRPr="00B25371">
        <w:rPr>
          <w:rFonts w:cs="Times New Roman"/>
          <w:szCs w:val="24"/>
        </w:rPr>
        <w:t xml:space="preserve">что согласуется с моделями </w:t>
      </w:r>
      <w:proofErr w:type="spellStart"/>
      <w:r w:rsidR="00B25371" w:rsidRPr="00B25371">
        <w:rPr>
          <w:rFonts w:cs="Times New Roman"/>
          <w:szCs w:val="24"/>
        </w:rPr>
        <w:t>теофрастита</w:t>
      </w:r>
      <w:proofErr w:type="spellEnd"/>
      <w:r w:rsidR="00B25371" w:rsidRPr="00B25371">
        <w:rPr>
          <w:rFonts w:cs="Times New Roman"/>
          <w:szCs w:val="24"/>
        </w:rPr>
        <w:t xml:space="preserve"> и талька [2]</w:t>
      </w:r>
      <w:r w:rsidR="00B25371">
        <w:rPr>
          <w:rFonts w:cs="Times New Roman"/>
          <w:szCs w:val="24"/>
        </w:rPr>
        <w:t xml:space="preserve">, а так же подтверждает результаты </w:t>
      </w:r>
      <w:r w:rsidR="00B25371">
        <w:rPr>
          <w:rFonts w:cs="Times New Roman"/>
          <w:szCs w:val="24"/>
          <w:lang w:val="en-US"/>
        </w:rPr>
        <w:t>XPS</w:t>
      </w:r>
      <w:r w:rsidR="00B25371" w:rsidRPr="00B25371">
        <w:rPr>
          <w:rFonts w:cs="Times New Roman"/>
          <w:szCs w:val="24"/>
        </w:rPr>
        <w:t xml:space="preserve">. </w:t>
      </w:r>
      <w:r w:rsidRPr="00BF3912">
        <w:rPr>
          <w:rFonts w:cs="Times New Roman"/>
          <w:szCs w:val="24"/>
        </w:rPr>
        <w:t>Для</w:t>
      </w:r>
      <w:r w:rsidR="004C17B1" w:rsidRPr="004C17B1">
        <w:rPr>
          <w:rFonts w:cs="Times New Roman"/>
          <w:szCs w:val="24"/>
        </w:rPr>
        <w:t xml:space="preserve"> </w:t>
      </w:r>
      <w:r w:rsidR="004C17B1">
        <w:rPr>
          <w:rFonts w:cs="Times New Roman"/>
          <w:szCs w:val="24"/>
        </w:rPr>
        <w:t xml:space="preserve">некоторых образцов </w:t>
      </w:r>
      <w:r w:rsidR="004C17B1" w:rsidRPr="00BF3912">
        <w:rPr>
          <w:rFonts w:cs="Times New Roman"/>
          <w:szCs w:val="24"/>
        </w:rPr>
        <w:t>установлены межатомные расстояния</w:t>
      </w:r>
      <w:r w:rsidR="004C17B1">
        <w:rPr>
          <w:rFonts w:cs="Times New Roman"/>
          <w:szCs w:val="24"/>
        </w:rPr>
        <w:t xml:space="preserve"> для никеля с его ближайшим окружением, первые две координационные сферы, например в</w:t>
      </w:r>
      <w:r w:rsidRPr="00BF3912">
        <w:rPr>
          <w:rFonts w:cs="Times New Roman"/>
          <w:szCs w:val="24"/>
        </w:rPr>
        <w:t xml:space="preserve"> </w:t>
      </w:r>
      <w:proofErr w:type="spellStart"/>
      <w:r w:rsidRPr="00BF3912">
        <w:rPr>
          <w:rFonts w:cs="Times New Roman"/>
          <w:szCs w:val="24"/>
        </w:rPr>
        <w:t>Na₂Al₂Si₂O</w:t>
      </w:r>
      <w:proofErr w:type="spellEnd"/>
      <w:r w:rsidRPr="00BF3912">
        <w:rPr>
          <w:rFonts w:cs="Times New Roman"/>
          <w:szCs w:val="24"/>
        </w:rPr>
        <w:t>₆ Ni–</w:t>
      </w:r>
      <w:proofErr w:type="spellStart"/>
      <w:r w:rsidRPr="00BF3912">
        <w:rPr>
          <w:rFonts w:cs="Times New Roman"/>
          <w:szCs w:val="24"/>
        </w:rPr>
        <w:t>Si</w:t>
      </w:r>
      <w:proofErr w:type="spellEnd"/>
      <w:r w:rsidRPr="00BF3912">
        <w:rPr>
          <w:rFonts w:cs="Times New Roman"/>
          <w:szCs w:val="24"/>
        </w:rPr>
        <w:t xml:space="preserve"> (4.35 Å) и Ni–Al (3.15 Å)</w:t>
      </w:r>
      <w:r w:rsidR="00431F91">
        <w:rPr>
          <w:rFonts w:cs="Times New Roman"/>
          <w:szCs w:val="24"/>
        </w:rPr>
        <w:t>,</w:t>
      </w:r>
      <w:r w:rsidRPr="00BF3912">
        <w:rPr>
          <w:rFonts w:cs="Times New Roman"/>
          <w:szCs w:val="24"/>
        </w:rPr>
        <w:t xml:space="preserve"> </w:t>
      </w:r>
      <w:r w:rsidR="004C17B1">
        <w:rPr>
          <w:rFonts w:cs="Times New Roman"/>
          <w:szCs w:val="24"/>
        </w:rPr>
        <w:t xml:space="preserve">что подтверждает </w:t>
      </w:r>
      <w:r w:rsidRPr="00BF3912">
        <w:rPr>
          <w:rFonts w:cs="Times New Roman"/>
          <w:szCs w:val="24"/>
        </w:rPr>
        <w:t xml:space="preserve">включение Ni в алюмосиликатную матрицу.   </w:t>
      </w:r>
    </w:p>
    <w:p w14:paraId="418EBD9C" w14:textId="77777777" w:rsidR="00BF3912" w:rsidRPr="00BF3912" w:rsidRDefault="00BF3912" w:rsidP="004C17B1">
      <w:pPr>
        <w:spacing w:line="240" w:lineRule="auto"/>
        <w:jc w:val="both"/>
        <w:rPr>
          <w:rFonts w:cs="Times New Roman"/>
          <w:szCs w:val="24"/>
        </w:rPr>
      </w:pPr>
      <w:r w:rsidRPr="00BF3912">
        <w:rPr>
          <w:rFonts w:cs="Times New Roman"/>
          <w:szCs w:val="24"/>
        </w:rPr>
        <w:t xml:space="preserve">Список литературы  </w:t>
      </w:r>
    </w:p>
    <w:p w14:paraId="1C0CD820" w14:textId="77777777" w:rsidR="00BF3912" w:rsidRPr="00BF3912" w:rsidRDefault="00BF3912" w:rsidP="004C17B1">
      <w:pPr>
        <w:spacing w:line="240" w:lineRule="auto"/>
        <w:jc w:val="both"/>
        <w:rPr>
          <w:rFonts w:cs="Times New Roman"/>
          <w:szCs w:val="24"/>
          <w:lang w:val="en-US"/>
        </w:rPr>
      </w:pPr>
      <w:r w:rsidRPr="00BF3912">
        <w:rPr>
          <w:rFonts w:cs="Times New Roman"/>
          <w:szCs w:val="24"/>
        </w:rPr>
        <w:t xml:space="preserve">1. Lee S. </w:t>
      </w:r>
      <w:proofErr w:type="spellStart"/>
      <w:r w:rsidRPr="00BF3912">
        <w:rPr>
          <w:rFonts w:cs="Times New Roman"/>
          <w:szCs w:val="24"/>
        </w:rPr>
        <w:t>et</w:t>
      </w:r>
      <w:proofErr w:type="spellEnd"/>
      <w:r w:rsidRPr="00BF3912">
        <w:rPr>
          <w:rFonts w:cs="Times New Roman"/>
          <w:szCs w:val="24"/>
        </w:rPr>
        <w:t xml:space="preserve"> </w:t>
      </w:r>
      <w:proofErr w:type="spellStart"/>
      <w:r w:rsidRPr="00BF3912">
        <w:rPr>
          <w:rFonts w:cs="Times New Roman"/>
          <w:szCs w:val="24"/>
        </w:rPr>
        <w:t>al</w:t>
      </w:r>
      <w:proofErr w:type="spellEnd"/>
      <w:r w:rsidRPr="00BF3912">
        <w:rPr>
          <w:rFonts w:cs="Times New Roman"/>
          <w:szCs w:val="24"/>
        </w:rPr>
        <w:t xml:space="preserve">. </w:t>
      </w:r>
      <w:r w:rsidRPr="00BF3912">
        <w:rPr>
          <w:rFonts w:cs="Times New Roman"/>
          <w:szCs w:val="24"/>
          <w:lang w:val="en-US"/>
        </w:rPr>
        <w:t xml:space="preserve">Dual Functional Amorphous Aluminosilicate Sorbents // Sustainable Materials and Technologies. 2021. V. 30. e00356.  </w:t>
      </w:r>
    </w:p>
    <w:p w14:paraId="33D90659" w14:textId="3E371401" w:rsidR="00BF3912" w:rsidRPr="00BF3912" w:rsidRDefault="00BF3912" w:rsidP="004C17B1">
      <w:pPr>
        <w:spacing w:line="240" w:lineRule="auto"/>
        <w:jc w:val="both"/>
        <w:rPr>
          <w:rFonts w:cs="Times New Roman"/>
          <w:szCs w:val="24"/>
        </w:rPr>
      </w:pPr>
      <w:r w:rsidRPr="00BF3912">
        <w:rPr>
          <w:rFonts w:cs="Times New Roman"/>
          <w:szCs w:val="24"/>
          <w:lang w:val="en-US"/>
        </w:rPr>
        <w:t xml:space="preserve">2. </w:t>
      </w:r>
      <w:proofErr w:type="spellStart"/>
      <w:r w:rsidRPr="00BF3912">
        <w:rPr>
          <w:rFonts w:cs="Times New Roman"/>
          <w:szCs w:val="24"/>
          <w:lang w:val="en-US"/>
        </w:rPr>
        <w:t>Yarusova</w:t>
      </w:r>
      <w:proofErr w:type="spellEnd"/>
      <w:r w:rsidRPr="00BF3912">
        <w:rPr>
          <w:rFonts w:cs="Times New Roman"/>
          <w:szCs w:val="24"/>
          <w:lang w:val="en-US"/>
        </w:rPr>
        <w:t xml:space="preserve"> S.B. et al. Synthesis of Amorphous </w:t>
      </w:r>
      <w:proofErr w:type="spellStart"/>
      <w:r w:rsidRPr="00BF3912">
        <w:rPr>
          <w:rFonts w:cs="Times New Roman"/>
          <w:szCs w:val="24"/>
          <w:lang w:val="en-US"/>
        </w:rPr>
        <w:t>KAlSi₃O</w:t>
      </w:r>
      <w:proofErr w:type="spellEnd"/>
      <w:r w:rsidRPr="00BF3912">
        <w:rPr>
          <w:rFonts w:cs="Times New Roman"/>
          <w:szCs w:val="24"/>
          <w:lang w:val="en-US"/>
        </w:rPr>
        <w:t xml:space="preserve">₈ // Ceramics International. </w:t>
      </w:r>
      <w:r w:rsidRPr="00BF3912">
        <w:rPr>
          <w:rFonts w:cs="Times New Roman"/>
          <w:szCs w:val="24"/>
        </w:rPr>
        <w:t xml:space="preserve">2022. V. 48. P. 3808–3817.  </w:t>
      </w:r>
    </w:p>
    <w:sectPr w:rsidR="00BF3912" w:rsidRPr="00BF3912" w:rsidSect="00BF3912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4E"/>
    <w:rsid w:val="003D2559"/>
    <w:rsid w:val="00431F91"/>
    <w:rsid w:val="004C17B1"/>
    <w:rsid w:val="00525351"/>
    <w:rsid w:val="0064206C"/>
    <w:rsid w:val="008E6B4E"/>
    <w:rsid w:val="00A34847"/>
    <w:rsid w:val="00B25371"/>
    <w:rsid w:val="00BE27EC"/>
    <w:rsid w:val="00BF3912"/>
    <w:rsid w:val="00D92035"/>
    <w:rsid w:val="00F71C93"/>
    <w:rsid w:val="00FA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12F1"/>
  <w15:chartTrackingRefBased/>
  <w15:docId w15:val="{87F048EA-D540-4051-87D2-C6F353D8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0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Немтинов Василий Иванович</cp:lastModifiedBy>
  <cp:revision>2</cp:revision>
  <dcterms:created xsi:type="dcterms:W3CDTF">2025-03-02T06:56:00Z</dcterms:created>
  <dcterms:modified xsi:type="dcterms:W3CDTF">2025-03-02T06:56:00Z</dcterms:modified>
</cp:coreProperties>
</file>