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2F91E" w14:textId="569837BD" w:rsidR="00C84C3E" w:rsidRDefault="00E43E51" w:rsidP="00E43E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E51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гониометрических измерений в жидких средах с использованием треугольных кювет</w:t>
      </w:r>
    </w:p>
    <w:p w14:paraId="7FFD7D6C" w14:textId="160191EE" w:rsidR="00E43E51" w:rsidRPr="00BF0620" w:rsidRDefault="00615729" w:rsidP="008225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15729">
        <w:rPr>
          <w:rFonts w:ascii="Times New Roman" w:hAnsi="Times New Roman" w:cs="Times New Roman"/>
          <w:i/>
          <w:iCs/>
          <w:sz w:val="24"/>
          <w:szCs w:val="24"/>
        </w:rPr>
        <w:t>Клименко Р.П.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6157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proofErr w:type="gramEnd"/>
      <w:r w:rsidRPr="0061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Данилова В.И.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BF0620">
        <w:rPr>
          <w:rFonts w:ascii="Times New Roman" w:hAnsi="Times New Roman" w:cs="Times New Roman"/>
          <w:i/>
          <w:iCs/>
          <w:sz w:val="24"/>
          <w:szCs w:val="24"/>
        </w:rPr>
        <w:t xml:space="preserve"> Клименко В.П. </w:t>
      </w:r>
      <w:r w:rsidR="00DD795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4D8E3058" w14:textId="1CE87C69" w:rsidR="00615729" w:rsidRDefault="00615729" w:rsidP="008225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7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Pr="00615729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1DF97EC5" w14:textId="7BD3CBBC" w:rsidR="00615729" w:rsidRPr="00615729" w:rsidRDefault="00615729" w:rsidP="008225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7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157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532524E4" w14:textId="57B71234" w:rsidR="00615729" w:rsidRPr="00615729" w:rsidRDefault="00615729" w:rsidP="008225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15729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 телекоммуникаций им. проф. М.А. Бонч-Бруевича</w:t>
      </w:r>
    </w:p>
    <w:p w14:paraId="25423A0C" w14:textId="43BAD7C0" w:rsidR="00615729" w:rsidRPr="00822507" w:rsidRDefault="00615729" w:rsidP="008225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2507">
        <w:rPr>
          <w:rFonts w:ascii="Times New Roman" w:hAnsi="Times New Roman" w:cs="Times New Roman"/>
          <w:i/>
          <w:iCs/>
          <w:sz w:val="24"/>
          <w:szCs w:val="24"/>
        </w:rPr>
        <w:t>Факультет инфокоммуникационных сетей и систем, Санкт-Петербург, Россия</w:t>
      </w:r>
    </w:p>
    <w:p w14:paraId="3FDA28C5" w14:textId="7C6EA6B4" w:rsidR="00C0345C" w:rsidRPr="00822507" w:rsidRDefault="00615729" w:rsidP="008225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25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 </w:t>
      </w:r>
      <w:r w:rsidRPr="0082250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a</w:t>
      </w:r>
      <w:hyperlink r:id="rId5" w:history="1">
        <w:r w:rsidRPr="0082250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79213866205@yandex.ru</w:t>
        </w:r>
      </w:hyperlink>
    </w:p>
    <w:p w14:paraId="5C2B7246" w14:textId="77777777" w:rsidR="00335BD5" w:rsidRPr="00DD7953" w:rsidRDefault="00335BD5" w:rsidP="00335BD5">
      <w:pPr>
        <w:pStyle w:val="a7"/>
        <w:spacing w:after="0" w:afterAutospacing="0"/>
        <w:ind w:firstLine="397"/>
        <w:jc w:val="center"/>
        <w:rPr>
          <w:b/>
          <w:bCs/>
          <w:lang w:val="en-US"/>
        </w:rPr>
      </w:pPr>
      <w:r w:rsidRPr="00335BD5">
        <w:rPr>
          <w:b/>
          <w:bCs/>
        </w:rPr>
        <w:t>Введен</w:t>
      </w:r>
      <w:bookmarkStart w:id="0" w:name="_GoBack"/>
      <w:bookmarkEnd w:id="0"/>
      <w:r w:rsidRPr="00335BD5">
        <w:rPr>
          <w:b/>
          <w:bCs/>
        </w:rPr>
        <w:t>ие</w:t>
      </w:r>
      <w:r w:rsidRPr="00DD7953">
        <w:rPr>
          <w:b/>
          <w:bCs/>
          <w:lang w:val="en-US"/>
        </w:rPr>
        <w:t>.</w:t>
      </w:r>
    </w:p>
    <w:p w14:paraId="3C9E2D07" w14:textId="0B365FB3" w:rsidR="00C0345C" w:rsidRDefault="00C0345C" w:rsidP="00335BD5">
      <w:pPr>
        <w:pStyle w:val="a7"/>
        <w:spacing w:before="0" w:beforeAutospacing="0" w:after="0" w:afterAutospacing="0"/>
        <w:ind w:firstLine="397"/>
        <w:jc w:val="both"/>
      </w:pPr>
      <w:r>
        <w:t xml:space="preserve">Современные лабораторные исследования требуют </w:t>
      </w:r>
      <w:r w:rsidR="009339A6">
        <w:t>универсальных</w:t>
      </w:r>
      <w:r>
        <w:t xml:space="preserve"> методов </w:t>
      </w:r>
      <w:r w:rsidR="009339A6">
        <w:t>измерения в реальном времени</w:t>
      </w:r>
      <w:r>
        <w:t xml:space="preserve">. Одним из перспективных методов </w:t>
      </w:r>
      <w:r w:rsidR="00822507">
        <w:t xml:space="preserve">для лабораторных условий </w:t>
      </w:r>
      <w:r>
        <w:t>явля</w:t>
      </w:r>
      <w:r w:rsidR="00822507">
        <w:t>ю</w:t>
      </w:r>
      <w:r>
        <w:t>тся гониометрическое измерение показателя преломления</w:t>
      </w:r>
      <w:r w:rsidR="00822507">
        <w:t xml:space="preserve"> </w:t>
      </w:r>
      <w:r w:rsidR="00822507" w:rsidRPr="00822507">
        <w:t>[1, 2]</w:t>
      </w:r>
      <w:r>
        <w:t xml:space="preserve">. Данный метод </w:t>
      </w:r>
      <w:r w:rsidR="009339A6">
        <w:t>имеет большую универсальность</w:t>
      </w:r>
      <w:r>
        <w:t>.</w:t>
      </w:r>
      <w:r w:rsidR="009339A6">
        <w:t xml:space="preserve"> В ходе измерения можно использовать разные длины волн для более </w:t>
      </w:r>
      <w:r w:rsidR="00822507">
        <w:t>расширенного</w:t>
      </w:r>
      <w:r w:rsidR="009339A6">
        <w:t xml:space="preserve"> измерения показателя преломления. Использование треугольной кюветы позволяет исследовать различные жидкости, в том числе летучие и опасные</w:t>
      </w:r>
      <w:r w:rsidR="00822507">
        <w:t>, так как содержит в своем составе герметичную крышку. При необходимости её можно закрывать под давлением. Это позволяет проводить продолжительные исследования различных жидких сред.</w:t>
      </w:r>
    </w:p>
    <w:p w14:paraId="40020409" w14:textId="77777777" w:rsidR="00335BD5" w:rsidRDefault="00335BD5" w:rsidP="00335BD5">
      <w:pPr>
        <w:pStyle w:val="a7"/>
        <w:spacing w:before="0" w:beforeAutospacing="0" w:after="0" w:afterAutospacing="0"/>
        <w:ind w:firstLine="397"/>
        <w:jc w:val="both"/>
      </w:pPr>
    </w:p>
    <w:p w14:paraId="5C177755" w14:textId="48AC0B32" w:rsidR="00335BD5" w:rsidRPr="00335BD5" w:rsidRDefault="00335BD5" w:rsidP="00335BD5">
      <w:pPr>
        <w:pStyle w:val="a7"/>
        <w:spacing w:before="0" w:beforeAutospacing="0" w:after="0" w:afterAutospacing="0"/>
        <w:ind w:firstLine="397"/>
        <w:jc w:val="center"/>
        <w:rPr>
          <w:b/>
          <w:bCs/>
        </w:rPr>
      </w:pPr>
      <w:r w:rsidRPr="00335BD5">
        <w:rPr>
          <w:b/>
          <w:bCs/>
        </w:rPr>
        <w:t>Конструкция и результаты исследований</w:t>
      </w:r>
    </w:p>
    <w:p w14:paraId="1866BE01" w14:textId="39CA346B" w:rsidR="00C0345C" w:rsidRPr="009339A6" w:rsidRDefault="00C0345C" w:rsidP="00822507">
      <w:pPr>
        <w:pStyle w:val="Abstract"/>
        <w:spacing w:after="0"/>
        <w:ind w:firstLine="397"/>
        <w:rPr>
          <w:rFonts w:eastAsia="Times New Roman"/>
          <w:b w:val="0"/>
          <w:bCs w:val="0"/>
          <w:sz w:val="24"/>
          <w:szCs w:val="24"/>
          <w:lang w:val="ru-RU" w:eastAsia="ru-RU"/>
        </w:rPr>
      </w:pPr>
      <w:r w:rsidRPr="00C0345C">
        <w:rPr>
          <w:rFonts w:eastAsia="Times New Roman"/>
          <w:b w:val="0"/>
          <w:bCs w:val="0"/>
          <w:sz w:val="24"/>
          <w:szCs w:val="24"/>
          <w:lang w:val="ru-RU" w:eastAsia="ru-RU"/>
        </w:rPr>
        <w:t>Нами была разработана специальная треугольная кювета с крышкой для предотвращения испарения и обеспечения долговременных измерений летучих и опасных жидкостей. Кювета, представленная на</w:t>
      </w:r>
      <w:r>
        <w:rPr>
          <w:rFonts w:eastAsia="Times New Roman"/>
          <w:b w:val="0"/>
          <w:bCs w:val="0"/>
          <w:sz w:val="24"/>
          <w:szCs w:val="24"/>
          <w:lang w:val="ru-RU" w:eastAsia="ru-RU"/>
        </w:rPr>
        <w:t xml:space="preserve"> схематично на</w:t>
      </w:r>
      <w:r w:rsidRPr="00C0345C">
        <w:rPr>
          <w:rFonts w:eastAsia="Times New Roman"/>
          <w:b w:val="0"/>
          <w:bCs w:val="0"/>
          <w:sz w:val="24"/>
          <w:szCs w:val="24"/>
          <w:lang w:val="ru-RU" w:eastAsia="ru-RU"/>
        </w:rPr>
        <w:t xml:space="preserve"> рис</w:t>
      </w:r>
      <w:r>
        <w:rPr>
          <w:rFonts w:eastAsia="Times New Roman"/>
          <w:b w:val="0"/>
          <w:bCs w:val="0"/>
          <w:sz w:val="24"/>
          <w:szCs w:val="24"/>
          <w:lang w:val="ru-RU" w:eastAsia="ru-RU"/>
        </w:rPr>
        <w:t>.</w:t>
      </w:r>
      <w:r w:rsidRPr="00C0345C">
        <w:rPr>
          <w:rFonts w:eastAsia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b w:val="0"/>
          <w:bCs w:val="0"/>
          <w:sz w:val="24"/>
          <w:szCs w:val="24"/>
          <w:lang w:val="ru-RU" w:eastAsia="ru-RU"/>
        </w:rPr>
        <w:t>1</w:t>
      </w:r>
      <w:r w:rsidRPr="00C0345C">
        <w:rPr>
          <w:rFonts w:eastAsia="Times New Roman"/>
          <w:b w:val="0"/>
          <w:bCs w:val="0"/>
          <w:sz w:val="24"/>
          <w:szCs w:val="24"/>
          <w:lang w:val="ru-RU" w:eastAsia="ru-RU"/>
        </w:rPr>
        <w:t>, имеет угловую конструкцию, предотвращающую полное внутреннее отражение лазерного излучения. Методика измерения основывается на гониометрическом анализе угла преломления лазерного луча на границе сред. На основе данных о различных лабораторных экспериментальных гониометрических установках нами была ра</w:t>
      </w:r>
      <w:r w:rsidR="009339A6">
        <w:rPr>
          <w:rFonts w:eastAsia="Times New Roman"/>
          <w:b w:val="0"/>
          <w:bCs w:val="0"/>
          <w:sz w:val="24"/>
          <w:szCs w:val="24"/>
          <w:lang w:val="ru-RU" w:eastAsia="ru-RU"/>
        </w:rPr>
        <w:t>зработана оптимальная конструкция для проведения измерений с помощью треугольной кюветы.</w:t>
      </w:r>
    </w:p>
    <w:p w14:paraId="5AEEB13B" w14:textId="77777777" w:rsidR="00C0345C" w:rsidRDefault="00C0345C" w:rsidP="00822507">
      <w:pPr>
        <w:pStyle w:val="a7"/>
        <w:spacing w:before="0" w:beforeAutospacing="0" w:after="0" w:afterAutospacing="0"/>
        <w:ind w:firstLine="397"/>
      </w:pPr>
      <w:r>
        <w:t>Используется перестраиваемый лазер, обеспечивающий исследование на различных длинах волн.</w:t>
      </w:r>
    </w:p>
    <w:p w14:paraId="0FCCD0B2" w14:textId="482DFFEE" w:rsidR="00C0345C" w:rsidRPr="009339A6" w:rsidRDefault="009339A6" w:rsidP="009339A6">
      <w:pPr>
        <w:pStyle w:val="Abstract"/>
        <w:ind w:firstLine="397"/>
        <w:jc w:val="center"/>
        <w:rPr>
          <w:rFonts w:eastAsia="Times New Roman"/>
          <w:b w:val="0"/>
          <w:bCs w:val="0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125CC662" wp14:editId="164F8ED1">
            <wp:extent cx="3173095" cy="2225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ндер кювет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47" cy="22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3ABA" w14:textId="317EA27A" w:rsidR="00C0345C" w:rsidRPr="00BB3CBA" w:rsidRDefault="00C0345C" w:rsidP="00822507">
      <w:pPr>
        <w:pStyle w:val="Abstract"/>
        <w:ind w:firstLine="397"/>
        <w:jc w:val="center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Рис 1 </w:t>
      </w:r>
      <w:r w:rsidR="009339A6">
        <w:rPr>
          <w:b w:val="0"/>
          <w:bCs w:val="0"/>
          <w:sz w:val="24"/>
          <w:szCs w:val="24"/>
          <w:lang w:val="ru-RU"/>
        </w:rPr>
        <w:t>Пространственная модель кюветы</w:t>
      </w:r>
    </w:p>
    <w:p w14:paraId="0903802D" w14:textId="4F11C11D" w:rsidR="009339A6" w:rsidRPr="007521FD" w:rsidRDefault="00C0345C" w:rsidP="00335BD5">
      <w:pPr>
        <w:pStyle w:val="a7"/>
        <w:spacing w:after="0" w:afterAutospacing="0"/>
        <w:ind w:firstLine="360"/>
        <w:jc w:val="both"/>
      </w:pPr>
      <w:r>
        <w:t xml:space="preserve">Для проверки достоверности метода были исследованы различные среды: водопроводная и фильтрованная вода, раствор сахара в воде, а также моторные масла различных марок. </w:t>
      </w:r>
      <w:r w:rsidR="008A3021">
        <w:t xml:space="preserve">Были получены следующие результаты. </w:t>
      </w:r>
      <w:r>
        <w:t xml:space="preserve">Для </w:t>
      </w:r>
      <w:r w:rsidR="008A3021">
        <w:t xml:space="preserve">различной </w:t>
      </w:r>
      <w:r>
        <w:t>воды показатель преломления составил 1.3315 - 1.3370 с погрешностью 0.0001.</w:t>
      </w:r>
      <w:r w:rsidR="009339A6">
        <w:t xml:space="preserve"> Было п</w:t>
      </w:r>
      <w:r w:rsidR="009339A6" w:rsidRPr="0075743B">
        <w:t xml:space="preserve">роведено </w:t>
      </w:r>
      <w:r w:rsidR="009339A6">
        <w:lastRenderedPageBreak/>
        <w:t>3</w:t>
      </w:r>
      <w:r w:rsidR="009339A6" w:rsidRPr="0075743B">
        <w:t xml:space="preserve"> измерени</w:t>
      </w:r>
      <w:r w:rsidR="009339A6">
        <w:t>я</w:t>
      </w:r>
      <w:r w:rsidR="009339A6" w:rsidRPr="0075743B">
        <w:t xml:space="preserve"> и получено следующ</w:t>
      </w:r>
      <w:r w:rsidR="009339A6">
        <w:t>и</w:t>
      </w:r>
      <w:r w:rsidR="009339A6" w:rsidRPr="0075743B">
        <w:t>е значени</w:t>
      </w:r>
      <w:r w:rsidR="009339A6">
        <w:t xml:space="preserve">я: для водопроводной воды </w:t>
      </w:r>
      <w:r w:rsidR="009339A6" w:rsidRPr="001C45CF">
        <w:t>n =1,3315 ± 0,0001; для фильтрованной воды n =1,3320 ± 0,0001 и фильтрованной воды с сахаром n =1,3370 ± 0,0001.</w:t>
      </w:r>
      <w:r w:rsidR="009339A6">
        <w:t xml:space="preserve"> </w:t>
      </w:r>
    </w:p>
    <w:p w14:paraId="3F98CE31" w14:textId="0CCA4214" w:rsidR="00C0345C" w:rsidRDefault="00C0345C" w:rsidP="00335BD5">
      <w:pPr>
        <w:pStyle w:val="a7"/>
        <w:spacing w:before="0" w:beforeAutospacing="0" w:after="0" w:afterAutospacing="0"/>
        <w:ind w:firstLine="284"/>
        <w:jc w:val="both"/>
      </w:pPr>
      <w:r>
        <w:t xml:space="preserve">Для моторных масел показатель преломления изменяется с температурой: при 283 К n = 1.4704, при 313 К n = 1.4589. Сравнение с промышленным рефрактометром </w:t>
      </w:r>
      <w:proofErr w:type="spellStart"/>
      <w:r>
        <w:t>Abbemat</w:t>
      </w:r>
      <w:proofErr w:type="spellEnd"/>
      <w:r>
        <w:t xml:space="preserve"> WR/MW подтвердило высокую точность метода.</w:t>
      </w:r>
    </w:p>
    <w:p w14:paraId="533C9EEA" w14:textId="0D6B1779" w:rsidR="0045046F" w:rsidRPr="0045046F" w:rsidRDefault="0045046F" w:rsidP="0045046F">
      <w:pPr>
        <w:pStyle w:val="a7"/>
        <w:jc w:val="center"/>
      </w:pPr>
      <w:r>
        <w:t xml:space="preserve">Таблица 1 Исследование показателя преломления </w:t>
      </w:r>
      <w:r>
        <w:rPr>
          <w:lang w:val="en-US"/>
        </w:rPr>
        <w:t>n</w:t>
      </w:r>
      <w:r>
        <w:t xml:space="preserve"> моторного масла </w:t>
      </w:r>
      <w:r>
        <w:rPr>
          <w:lang w:val="en-US"/>
        </w:rPr>
        <w:t>GENESIS</w:t>
      </w:r>
      <w:r w:rsidRPr="0045046F">
        <w:t xml:space="preserve"> </w:t>
      </w:r>
      <w:r>
        <w:rPr>
          <w:lang w:val="en-US"/>
        </w:rPr>
        <w:t>ARM</w:t>
      </w:r>
      <w:r w:rsidRPr="0045046F">
        <w:t xml:space="preserve"> 5</w:t>
      </w:r>
      <w:r>
        <w:rPr>
          <w:lang w:val="en-US"/>
        </w:rPr>
        <w:t>W</w:t>
      </w:r>
      <w:r w:rsidRPr="0045046F">
        <w:t>-30 (</w:t>
      </w:r>
      <w:r>
        <w:rPr>
          <w:lang w:val="en-US"/>
        </w:rPr>
        <w:t>COMPANY</w:t>
      </w:r>
      <w:r w:rsidRPr="0045046F">
        <w:t xml:space="preserve"> </w:t>
      </w:r>
      <w:r>
        <w:rPr>
          <w:lang w:val="en-US"/>
        </w:rPr>
        <w:t>LUKOIL</w:t>
      </w:r>
      <w:r w:rsidRPr="0045046F">
        <w:t xml:space="preserve">) </w:t>
      </w:r>
      <w:r>
        <w:t>от изменения температуры</w:t>
      </w:r>
    </w:p>
    <w:tbl>
      <w:tblPr>
        <w:tblStyle w:val="a6"/>
        <w:tblW w:w="5240" w:type="dxa"/>
        <w:jc w:val="center"/>
        <w:tblLook w:val="04A0" w:firstRow="1" w:lastRow="0" w:firstColumn="1" w:lastColumn="0" w:noHBand="0" w:noVBand="1"/>
      </w:tblPr>
      <w:tblGrid>
        <w:gridCol w:w="1488"/>
        <w:gridCol w:w="1762"/>
        <w:gridCol w:w="1990"/>
      </w:tblGrid>
      <w:tr w:rsidR="00580D9A" w:rsidRPr="000F7FE7" w14:paraId="08EC519E" w14:textId="77777777" w:rsidTr="00335BD5">
        <w:trPr>
          <w:jc w:val="center"/>
        </w:trPr>
        <w:tc>
          <w:tcPr>
            <w:tcW w:w="1488" w:type="dxa"/>
          </w:tcPr>
          <w:p w14:paraId="73DDF259" w14:textId="77777777" w:rsidR="00580D9A" w:rsidRPr="000F7FE7" w:rsidRDefault="00580D9A" w:rsidP="00901B68">
            <w:pPr>
              <w:pStyle w:val="a4"/>
            </w:pPr>
            <w:r w:rsidRPr="000F7FE7">
              <w:t>Т, К</w:t>
            </w:r>
          </w:p>
        </w:tc>
        <w:tc>
          <w:tcPr>
            <w:tcW w:w="1762" w:type="dxa"/>
          </w:tcPr>
          <w:p w14:paraId="24A73ED0" w14:textId="77777777" w:rsidR="00580D9A" w:rsidRPr="000F7FE7" w:rsidRDefault="00580D9A" w:rsidP="00822507">
            <w:pPr>
              <w:pStyle w:val="a4"/>
              <w:ind w:firstLine="0"/>
            </w:pPr>
            <w:r w:rsidRPr="000F7FE7">
              <w:t>Лабораторная гониометрическая система с треугольной кюветой</w:t>
            </w:r>
          </w:p>
        </w:tc>
        <w:tc>
          <w:tcPr>
            <w:tcW w:w="1990" w:type="dxa"/>
          </w:tcPr>
          <w:p w14:paraId="3F217C6B" w14:textId="77777777" w:rsidR="00580D9A" w:rsidRPr="000F7FE7" w:rsidRDefault="00580D9A" w:rsidP="00822507">
            <w:pPr>
              <w:contextualSpacing/>
              <w:jc w:val="both"/>
              <w:rPr>
                <w:spacing w:val="-1"/>
                <w:lang w:val="x-none" w:eastAsia="x-none"/>
              </w:rPr>
            </w:pPr>
            <w:r w:rsidRPr="000F7FE7">
              <w:rPr>
                <w:spacing w:val="-1"/>
                <w:lang w:val="x-none" w:eastAsia="x-none"/>
              </w:rPr>
              <w:t xml:space="preserve">Промышленный рефрактометр </w:t>
            </w:r>
          </w:p>
          <w:p w14:paraId="02AED9F6" w14:textId="77777777" w:rsidR="00580D9A" w:rsidRPr="000F7FE7" w:rsidRDefault="00580D9A" w:rsidP="00822507">
            <w:pPr>
              <w:pStyle w:val="a4"/>
              <w:spacing w:after="0" w:line="240" w:lineRule="auto"/>
              <w:ind w:firstLine="0"/>
            </w:pPr>
            <w:proofErr w:type="spellStart"/>
            <w:r w:rsidRPr="000F7FE7">
              <w:t>Abbemat</w:t>
            </w:r>
            <w:proofErr w:type="spellEnd"/>
            <w:r w:rsidRPr="000F7FE7">
              <w:t xml:space="preserve"> WR/MW</w:t>
            </w:r>
            <w:r w:rsidRPr="00146829">
              <w:t xml:space="preserve"> </w:t>
            </w:r>
          </w:p>
        </w:tc>
      </w:tr>
      <w:tr w:rsidR="00580D9A" w:rsidRPr="000F7FE7" w14:paraId="20571167" w14:textId="77777777" w:rsidTr="00335BD5">
        <w:trPr>
          <w:jc w:val="center"/>
        </w:trPr>
        <w:tc>
          <w:tcPr>
            <w:tcW w:w="1488" w:type="dxa"/>
          </w:tcPr>
          <w:p w14:paraId="6D03C40F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283,2 ± 0,2</w:t>
            </w:r>
          </w:p>
        </w:tc>
        <w:tc>
          <w:tcPr>
            <w:tcW w:w="1762" w:type="dxa"/>
          </w:tcPr>
          <w:p w14:paraId="448563FB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1.4704 ± 0,0001</w:t>
            </w:r>
          </w:p>
        </w:tc>
        <w:tc>
          <w:tcPr>
            <w:tcW w:w="1990" w:type="dxa"/>
          </w:tcPr>
          <w:p w14:paraId="4C597E82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1.47035 ± 0,00005</w:t>
            </w:r>
          </w:p>
        </w:tc>
      </w:tr>
      <w:tr w:rsidR="00580D9A" w:rsidRPr="000F7FE7" w14:paraId="3EE8B80D" w14:textId="77777777" w:rsidTr="00335BD5">
        <w:trPr>
          <w:jc w:val="center"/>
        </w:trPr>
        <w:tc>
          <w:tcPr>
            <w:tcW w:w="1488" w:type="dxa"/>
          </w:tcPr>
          <w:p w14:paraId="47435D88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285,0 ± 0,2</w:t>
            </w:r>
          </w:p>
        </w:tc>
        <w:tc>
          <w:tcPr>
            <w:tcW w:w="1762" w:type="dxa"/>
          </w:tcPr>
          <w:p w14:paraId="7E67FE53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1.4701 ± 0,0001</w:t>
            </w:r>
          </w:p>
        </w:tc>
        <w:tc>
          <w:tcPr>
            <w:tcW w:w="1990" w:type="dxa"/>
          </w:tcPr>
          <w:p w14:paraId="7694A0C6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1.46996 ± 0,00005</w:t>
            </w:r>
          </w:p>
        </w:tc>
      </w:tr>
      <w:tr w:rsidR="00580D9A" w:rsidRPr="000F7FE7" w14:paraId="7EAF8944" w14:textId="77777777" w:rsidTr="00335BD5">
        <w:trPr>
          <w:jc w:val="center"/>
        </w:trPr>
        <w:tc>
          <w:tcPr>
            <w:tcW w:w="1488" w:type="dxa"/>
          </w:tcPr>
          <w:p w14:paraId="00E9A8C3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287,1 ± 0,2</w:t>
            </w:r>
          </w:p>
        </w:tc>
        <w:tc>
          <w:tcPr>
            <w:tcW w:w="1762" w:type="dxa"/>
          </w:tcPr>
          <w:p w14:paraId="1EFBF2BF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1.4695 ± 0,0001</w:t>
            </w:r>
          </w:p>
        </w:tc>
        <w:tc>
          <w:tcPr>
            <w:tcW w:w="1990" w:type="dxa"/>
          </w:tcPr>
          <w:p w14:paraId="429C3BD1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1.46942 ± 0,00005</w:t>
            </w:r>
          </w:p>
        </w:tc>
      </w:tr>
      <w:tr w:rsidR="00580D9A" w:rsidRPr="000F7FE7" w14:paraId="5EA8BFBB" w14:textId="77777777" w:rsidTr="00335BD5">
        <w:trPr>
          <w:jc w:val="center"/>
        </w:trPr>
        <w:tc>
          <w:tcPr>
            <w:tcW w:w="1488" w:type="dxa"/>
          </w:tcPr>
          <w:p w14:paraId="2F31F109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291,1 ± 0,2</w:t>
            </w:r>
          </w:p>
        </w:tc>
        <w:tc>
          <w:tcPr>
            <w:tcW w:w="1762" w:type="dxa"/>
          </w:tcPr>
          <w:p w14:paraId="29F8BF83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1.4680 ± 0,0001</w:t>
            </w:r>
          </w:p>
        </w:tc>
        <w:tc>
          <w:tcPr>
            <w:tcW w:w="1990" w:type="dxa"/>
          </w:tcPr>
          <w:p w14:paraId="46D7C4E1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1.46797 ± 0,00005</w:t>
            </w:r>
          </w:p>
        </w:tc>
      </w:tr>
      <w:tr w:rsidR="00580D9A" w:rsidRPr="000F7FE7" w14:paraId="271A89E5" w14:textId="77777777" w:rsidTr="00335BD5">
        <w:trPr>
          <w:jc w:val="center"/>
        </w:trPr>
        <w:tc>
          <w:tcPr>
            <w:tcW w:w="1488" w:type="dxa"/>
          </w:tcPr>
          <w:p w14:paraId="0AD05A87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295,0 ± 0,2</w:t>
            </w:r>
          </w:p>
        </w:tc>
        <w:tc>
          <w:tcPr>
            <w:tcW w:w="1762" w:type="dxa"/>
          </w:tcPr>
          <w:p w14:paraId="762DAE9A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1.4663 ± 0,0001</w:t>
            </w:r>
          </w:p>
        </w:tc>
        <w:tc>
          <w:tcPr>
            <w:tcW w:w="1990" w:type="dxa"/>
          </w:tcPr>
          <w:p w14:paraId="519047AD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1.46623 ± 0,00005</w:t>
            </w:r>
          </w:p>
        </w:tc>
      </w:tr>
      <w:tr w:rsidR="00580D9A" w:rsidRPr="000F7FE7" w14:paraId="1A4B9103" w14:textId="77777777" w:rsidTr="00335BD5">
        <w:trPr>
          <w:jc w:val="center"/>
        </w:trPr>
        <w:tc>
          <w:tcPr>
            <w:tcW w:w="1488" w:type="dxa"/>
          </w:tcPr>
          <w:p w14:paraId="4028EC0F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299,1 ± 0,2</w:t>
            </w:r>
          </w:p>
        </w:tc>
        <w:tc>
          <w:tcPr>
            <w:tcW w:w="1762" w:type="dxa"/>
          </w:tcPr>
          <w:p w14:paraId="7CF4DB6E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1.4648 ± 0,0001</w:t>
            </w:r>
          </w:p>
        </w:tc>
        <w:tc>
          <w:tcPr>
            <w:tcW w:w="1990" w:type="dxa"/>
          </w:tcPr>
          <w:p w14:paraId="5892FEF3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1.46471 ± 0,00005</w:t>
            </w:r>
          </w:p>
        </w:tc>
      </w:tr>
      <w:tr w:rsidR="00580D9A" w:rsidRPr="000F7FE7" w14:paraId="011F8924" w14:textId="77777777" w:rsidTr="00335BD5">
        <w:trPr>
          <w:jc w:val="center"/>
        </w:trPr>
        <w:tc>
          <w:tcPr>
            <w:tcW w:w="1488" w:type="dxa"/>
          </w:tcPr>
          <w:p w14:paraId="6006E6AC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303,0 ± 0,2</w:t>
            </w:r>
          </w:p>
        </w:tc>
        <w:tc>
          <w:tcPr>
            <w:tcW w:w="1762" w:type="dxa"/>
          </w:tcPr>
          <w:p w14:paraId="03CC3260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1.4634 ± 0,0001</w:t>
            </w:r>
          </w:p>
        </w:tc>
        <w:tc>
          <w:tcPr>
            <w:tcW w:w="1990" w:type="dxa"/>
          </w:tcPr>
          <w:p w14:paraId="4BB530D7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1.46332 ± 0,00005</w:t>
            </w:r>
          </w:p>
        </w:tc>
      </w:tr>
      <w:tr w:rsidR="00580D9A" w:rsidRPr="000F7FE7" w14:paraId="1D9FC2D8" w14:textId="77777777" w:rsidTr="00335BD5">
        <w:trPr>
          <w:jc w:val="center"/>
        </w:trPr>
        <w:tc>
          <w:tcPr>
            <w:tcW w:w="1488" w:type="dxa"/>
          </w:tcPr>
          <w:p w14:paraId="31DCE62C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306,1 ± 0,2</w:t>
            </w:r>
          </w:p>
        </w:tc>
        <w:tc>
          <w:tcPr>
            <w:tcW w:w="1762" w:type="dxa"/>
          </w:tcPr>
          <w:p w14:paraId="0276F364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1.4619 ± 0,0001</w:t>
            </w:r>
          </w:p>
        </w:tc>
        <w:tc>
          <w:tcPr>
            <w:tcW w:w="1990" w:type="dxa"/>
          </w:tcPr>
          <w:p w14:paraId="2863F44C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1.46179 ± 0,00005</w:t>
            </w:r>
          </w:p>
        </w:tc>
      </w:tr>
      <w:tr w:rsidR="00580D9A" w:rsidRPr="000F7FE7" w14:paraId="344D269A" w14:textId="77777777" w:rsidTr="00335BD5">
        <w:trPr>
          <w:jc w:val="center"/>
        </w:trPr>
        <w:tc>
          <w:tcPr>
            <w:tcW w:w="1488" w:type="dxa"/>
          </w:tcPr>
          <w:p w14:paraId="1502A649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310,2 ± 0,2</w:t>
            </w:r>
          </w:p>
        </w:tc>
        <w:tc>
          <w:tcPr>
            <w:tcW w:w="1762" w:type="dxa"/>
          </w:tcPr>
          <w:p w14:paraId="21B1F721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1.4604 ± 0,0001</w:t>
            </w:r>
          </w:p>
        </w:tc>
        <w:tc>
          <w:tcPr>
            <w:tcW w:w="1990" w:type="dxa"/>
          </w:tcPr>
          <w:p w14:paraId="43627C73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1.46028 ± 0,00005</w:t>
            </w:r>
          </w:p>
        </w:tc>
      </w:tr>
      <w:tr w:rsidR="00580D9A" w:rsidRPr="000F7FE7" w14:paraId="25B51CA1" w14:textId="77777777" w:rsidTr="00335BD5">
        <w:trPr>
          <w:jc w:val="center"/>
        </w:trPr>
        <w:tc>
          <w:tcPr>
            <w:tcW w:w="1488" w:type="dxa"/>
          </w:tcPr>
          <w:p w14:paraId="0ECEA370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313,0 ± 0,2</w:t>
            </w:r>
          </w:p>
        </w:tc>
        <w:tc>
          <w:tcPr>
            <w:tcW w:w="1762" w:type="dxa"/>
          </w:tcPr>
          <w:p w14:paraId="2860A9B9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1.4589 ± 0,0001</w:t>
            </w:r>
          </w:p>
        </w:tc>
        <w:tc>
          <w:tcPr>
            <w:tcW w:w="1990" w:type="dxa"/>
          </w:tcPr>
          <w:p w14:paraId="1F5BF43A" w14:textId="77777777" w:rsidR="00580D9A" w:rsidRPr="000F7FE7" w:rsidRDefault="00580D9A" w:rsidP="00901B68">
            <w:pPr>
              <w:pStyle w:val="a4"/>
              <w:ind w:firstLine="0"/>
            </w:pPr>
            <w:r w:rsidRPr="000F7FE7">
              <w:t>1.45879 ± 0,00005</w:t>
            </w:r>
          </w:p>
        </w:tc>
      </w:tr>
    </w:tbl>
    <w:p w14:paraId="567F7CA7" w14:textId="31182CAB" w:rsidR="00580D9A" w:rsidRPr="00CE0FD5" w:rsidRDefault="00CE0FD5" w:rsidP="00CE0FD5">
      <w:pPr>
        <w:pStyle w:val="a7"/>
        <w:ind w:firstLine="284"/>
        <w:jc w:val="both"/>
      </w:pPr>
      <w:r>
        <w:t>Анализ полученных результатов показывает, что они совпадают в пределах погрешности измерения, что подтверждает адекватность использования предложенного гониометрического метода измерения с треугольной кюветой для различных лабораторных исследований.</w:t>
      </w:r>
    </w:p>
    <w:p w14:paraId="276754F5" w14:textId="4232FC91" w:rsidR="00CE0FD5" w:rsidRDefault="00C0345C" w:rsidP="00CE0FD5">
      <w:pPr>
        <w:pStyle w:val="a7"/>
        <w:spacing w:before="0" w:beforeAutospacing="0" w:after="0" w:afterAutospacing="0"/>
        <w:jc w:val="center"/>
      </w:pPr>
      <w:r>
        <w:rPr>
          <w:rStyle w:val="a8"/>
        </w:rPr>
        <w:t>Заключение</w:t>
      </w:r>
    </w:p>
    <w:p w14:paraId="159285AF" w14:textId="1A077DEA" w:rsidR="00CE0FD5" w:rsidRDefault="00985891" w:rsidP="00CE0FD5">
      <w:pPr>
        <w:pStyle w:val="a7"/>
        <w:spacing w:before="0" w:beforeAutospacing="0" w:after="0" w:afterAutospacing="0"/>
        <w:jc w:val="both"/>
      </w:pPr>
      <w:r>
        <w:t xml:space="preserve">     Учет установленных нами особенностей, как при проведении измерений показателей преломления жидкостей, так и при разработки методики размещения кюветы и </w:t>
      </w:r>
      <w:r w:rsidR="00E12710">
        <w:t xml:space="preserve">определения углов измерения, на которые отклоняется лазерное </w:t>
      </w:r>
      <w:proofErr w:type="gramStart"/>
      <w:r w:rsidR="00E12710">
        <w:t>излучение ,</w:t>
      </w:r>
      <w:proofErr w:type="gramEnd"/>
      <w:r w:rsidR="00E12710">
        <w:t xml:space="preserve"> позволяет обеспечить измерения показателей преломления различного класса жидких сред и их смесей с погрешностью измерения не хуже 0.0001. Это удовлетворяет минимальным требованиям по их контролю как для проведения дальнейших экспериментов с ними, так и для определения, например, состояния почек при исследовании мочи.  </w:t>
      </w:r>
    </w:p>
    <w:p w14:paraId="1E723EA9" w14:textId="77777777" w:rsidR="00CE0FD5" w:rsidRDefault="00CE0FD5" w:rsidP="00CE0FD5">
      <w:pPr>
        <w:pStyle w:val="a7"/>
        <w:spacing w:before="0" w:beforeAutospacing="0" w:after="0" w:afterAutospacing="0"/>
        <w:jc w:val="both"/>
      </w:pPr>
    </w:p>
    <w:p w14:paraId="3A5D5DE5" w14:textId="1FDAAC7E" w:rsidR="00CE0FD5" w:rsidRDefault="00CE0FD5" w:rsidP="00CE0FD5">
      <w:pPr>
        <w:pStyle w:val="Abstract"/>
        <w:spacing w:after="0"/>
        <w:ind w:firstLine="3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Литература</w:t>
      </w:r>
    </w:p>
    <w:p w14:paraId="6F3D5AC8" w14:textId="39473988" w:rsidR="00CE0FD5" w:rsidRPr="00CE0FD5" w:rsidRDefault="00DD7953" w:rsidP="00CE0FD5">
      <w:pPr>
        <w:pStyle w:val="a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tgtFrame="_blank" w:history="1">
        <w:r w:rsidR="00CE0FD5" w:rsidRPr="00CE0FD5">
          <w:rPr>
            <w:rStyle w:val="a3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Юрин А. И.</w:t>
        </w:r>
      </w:hyperlink>
      <w:r w:rsidR="00CE0FD5" w:rsidRPr="00CE0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Вишняков Г. Н., </w:t>
      </w:r>
      <w:r w:rsidR="00CE0FD5" w:rsidRPr="00CE0FD5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Минаев В. Л.</w:t>
      </w:r>
      <w:r w:rsidR="00CE0FD5" w:rsidRPr="00CE0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="00CE0FD5" w:rsidRPr="00CE0FD5">
        <w:fldChar w:fldCharType="begin"/>
      </w:r>
      <w:r w:rsidR="00CE0FD5" w:rsidRPr="00CE0FD5">
        <w:rPr>
          <w:rFonts w:ascii="Times New Roman" w:hAnsi="Times New Roman" w:cs="Times New Roman"/>
          <w:sz w:val="24"/>
          <w:szCs w:val="24"/>
        </w:rPr>
        <w:instrText xml:space="preserve"> HYPERLINK "https://www.hse.ru/org/persons/47632848" \t "_blank" </w:instrText>
      </w:r>
      <w:r w:rsidR="00CE0FD5" w:rsidRPr="00CE0FD5">
        <w:fldChar w:fldCharType="separate"/>
      </w:r>
      <w:r w:rsidR="00CE0FD5" w:rsidRPr="00CE0FD5">
        <w:rPr>
          <w:rStyle w:val="a3"/>
          <w:rFonts w:ascii="Times New Roman" w:hAnsi="Times New Roman" w:cs="Times New Roman"/>
          <w:color w:val="007AC5"/>
          <w:sz w:val="24"/>
          <w:szCs w:val="24"/>
          <w:shd w:val="clear" w:color="auto" w:fill="FFFFFF"/>
        </w:rPr>
        <w:t>Красивская</w:t>
      </w:r>
      <w:proofErr w:type="spellEnd"/>
      <w:r w:rsidR="00CE0FD5" w:rsidRPr="00CE0FD5">
        <w:rPr>
          <w:rStyle w:val="a3"/>
          <w:rFonts w:ascii="Times New Roman" w:hAnsi="Times New Roman" w:cs="Times New Roman"/>
          <w:color w:val="007AC5"/>
          <w:sz w:val="24"/>
          <w:szCs w:val="24"/>
          <w:shd w:val="clear" w:color="auto" w:fill="FFFFFF"/>
        </w:rPr>
        <w:t xml:space="preserve"> М. И.</w:t>
      </w:r>
      <w:r w:rsidR="00CE0FD5" w:rsidRPr="00CE0FD5">
        <w:rPr>
          <w:rStyle w:val="a3"/>
          <w:rFonts w:ascii="Times New Roman" w:hAnsi="Times New Roman" w:cs="Times New Roman"/>
          <w:color w:val="007AC5"/>
          <w:sz w:val="24"/>
          <w:szCs w:val="24"/>
          <w:shd w:val="clear" w:color="auto" w:fill="FFFFFF"/>
        </w:rPr>
        <w:fldChar w:fldCharType="end"/>
      </w:r>
      <w:r w:rsidR="00CE0FD5" w:rsidRPr="00CE0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="00CE0FD5" w:rsidRPr="00CE0FD5">
          <w:rPr>
            <w:rStyle w:val="a3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Измерение показателя преломления с помощью автоколлимационного гониометра</w:t>
        </w:r>
      </w:hyperlink>
      <w:r w:rsidR="00CE0FD5" w:rsidRPr="00CE0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// Научно-технический вестник информационных технологий, механики и оптики. 2023. Т. 23. № 5. С. 1073-1076.</w:t>
      </w:r>
    </w:p>
    <w:p w14:paraId="2318221C" w14:textId="67F1B342" w:rsidR="00CE0FD5" w:rsidRPr="00335BD5" w:rsidRDefault="00DD7953" w:rsidP="00335BD5">
      <w:pPr>
        <w:pStyle w:val="Abstract"/>
        <w:numPr>
          <w:ilvl w:val="0"/>
          <w:numId w:val="4"/>
        </w:numPr>
        <w:ind w:left="0" w:firstLine="0"/>
        <w:rPr>
          <w:sz w:val="24"/>
          <w:szCs w:val="24"/>
          <w:lang w:val="ru-RU"/>
        </w:rPr>
      </w:pPr>
      <w:hyperlink r:id="rId9" w:tgtFrame="_blank" w:history="1">
        <w:r w:rsidR="00335BD5" w:rsidRPr="00335BD5">
          <w:rPr>
            <w:rStyle w:val="a3"/>
            <w:color w:val="007AC5"/>
            <w:sz w:val="24"/>
            <w:szCs w:val="24"/>
            <w:shd w:val="clear" w:color="auto" w:fill="FFFFFF"/>
            <w:lang w:val="ru-RU"/>
          </w:rPr>
          <w:t>Юрин А. И.</w:t>
        </w:r>
      </w:hyperlink>
      <w:r w:rsidR="00335BD5" w:rsidRPr="00335BD5">
        <w:rPr>
          <w:color w:val="000000"/>
          <w:sz w:val="24"/>
          <w:szCs w:val="24"/>
          <w:shd w:val="clear" w:color="auto" w:fill="FFFFFF"/>
          <w:lang w:val="ru-RU"/>
        </w:rPr>
        <w:t>, Вишняков Г.,</w:t>
      </w:r>
      <w:r w:rsidR="00335BD5" w:rsidRPr="00335BD5">
        <w:rPr>
          <w:color w:val="000000"/>
          <w:sz w:val="24"/>
          <w:szCs w:val="24"/>
          <w:shd w:val="clear" w:color="auto" w:fill="FFFFFF"/>
        </w:rPr>
        <w:t> </w:t>
      </w:r>
      <w:r w:rsidR="00335BD5" w:rsidRPr="00335BD5">
        <w:rPr>
          <w:rStyle w:val="nowrap"/>
          <w:color w:val="000000"/>
          <w:sz w:val="24"/>
          <w:szCs w:val="24"/>
          <w:shd w:val="clear" w:color="auto" w:fill="FFFFFF"/>
          <w:lang w:val="ru-RU"/>
        </w:rPr>
        <w:t>Минаев В. Л.</w:t>
      </w:r>
      <w:r w:rsidR="00335BD5" w:rsidRPr="00335BD5">
        <w:rPr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="00335BD5" w:rsidRPr="00335BD5">
          <w:rPr>
            <w:rStyle w:val="a3"/>
            <w:color w:val="007AC5"/>
            <w:sz w:val="24"/>
            <w:szCs w:val="24"/>
            <w:shd w:val="clear" w:color="auto" w:fill="FFFFFF"/>
            <w:lang w:val="ru-RU"/>
          </w:rPr>
          <w:t>Измерение показателя преломления с помощью гониометрической системы</w:t>
        </w:r>
      </w:hyperlink>
      <w:r w:rsidR="00335BD5" w:rsidRPr="00335BD5">
        <w:rPr>
          <w:color w:val="000000"/>
          <w:sz w:val="24"/>
          <w:szCs w:val="24"/>
          <w:shd w:val="clear" w:color="auto" w:fill="FFFFFF"/>
        </w:rPr>
        <w:t> </w:t>
      </w:r>
      <w:r w:rsidR="00335BD5" w:rsidRPr="00335BD5">
        <w:rPr>
          <w:color w:val="000000"/>
          <w:sz w:val="24"/>
          <w:szCs w:val="24"/>
          <w:shd w:val="clear" w:color="auto" w:fill="FFFFFF"/>
          <w:lang w:val="ru-RU"/>
        </w:rPr>
        <w:t xml:space="preserve">// Оптика и спектроскопия. </w:t>
      </w:r>
      <w:r w:rsidR="00335BD5" w:rsidRPr="00DD7953">
        <w:rPr>
          <w:color w:val="000000"/>
          <w:sz w:val="24"/>
          <w:szCs w:val="24"/>
          <w:shd w:val="clear" w:color="auto" w:fill="FFFFFF"/>
          <w:lang w:val="ru-RU"/>
        </w:rPr>
        <w:t xml:space="preserve">2022. </w:t>
      </w:r>
      <w:r w:rsidR="00335BD5" w:rsidRPr="00335BD5">
        <w:rPr>
          <w:color w:val="000000"/>
          <w:sz w:val="24"/>
          <w:szCs w:val="24"/>
          <w:shd w:val="clear" w:color="auto" w:fill="FFFFFF"/>
        </w:rPr>
        <w:t xml:space="preserve">Т. 130. № 12. </w:t>
      </w:r>
      <w:proofErr w:type="gramStart"/>
      <w:r w:rsidR="00335BD5" w:rsidRPr="00335BD5">
        <w:rPr>
          <w:color w:val="000000"/>
          <w:sz w:val="24"/>
          <w:szCs w:val="24"/>
          <w:shd w:val="clear" w:color="auto" w:fill="FFFFFF"/>
        </w:rPr>
        <w:t>С. 1899</w:t>
      </w:r>
      <w:proofErr w:type="gramEnd"/>
      <w:r w:rsidR="00335BD5" w:rsidRPr="00335BD5">
        <w:rPr>
          <w:color w:val="000000"/>
          <w:sz w:val="24"/>
          <w:szCs w:val="24"/>
          <w:shd w:val="clear" w:color="auto" w:fill="FFFFFF"/>
        </w:rPr>
        <w:t>-1903. </w:t>
      </w:r>
    </w:p>
    <w:sectPr w:rsidR="00CE0FD5" w:rsidRPr="00335BD5" w:rsidSect="0045046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AF3"/>
    <w:multiLevelType w:val="multilevel"/>
    <w:tmpl w:val="DD4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3B514B"/>
    <w:multiLevelType w:val="hybridMultilevel"/>
    <w:tmpl w:val="102E1888"/>
    <w:lvl w:ilvl="0" w:tplc="DA0473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9A"/>
    <w:rsid w:val="00335BD5"/>
    <w:rsid w:val="0045046F"/>
    <w:rsid w:val="00580D9A"/>
    <w:rsid w:val="00615729"/>
    <w:rsid w:val="00822507"/>
    <w:rsid w:val="008634FB"/>
    <w:rsid w:val="00875F0D"/>
    <w:rsid w:val="008A3021"/>
    <w:rsid w:val="009339A6"/>
    <w:rsid w:val="00985891"/>
    <w:rsid w:val="00BB3CBA"/>
    <w:rsid w:val="00BF0620"/>
    <w:rsid w:val="00C0345C"/>
    <w:rsid w:val="00C84C3E"/>
    <w:rsid w:val="00CA2ABD"/>
    <w:rsid w:val="00CE0FD5"/>
    <w:rsid w:val="00DB5A9A"/>
    <w:rsid w:val="00DD7953"/>
    <w:rsid w:val="00E12710"/>
    <w:rsid w:val="00E4057C"/>
    <w:rsid w:val="00E4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591F"/>
  <w15:chartTrackingRefBased/>
  <w15:docId w15:val="{D88AA008-B625-4A25-ACCF-627AF9C4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7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5729"/>
    <w:rPr>
      <w:color w:val="605E5C"/>
      <w:shd w:val="clear" w:color="auto" w:fill="E1DFDD"/>
    </w:rPr>
  </w:style>
  <w:style w:type="paragraph" w:customStyle="1" w:styleId="Abstract">
    <w:name w:val="Abstract"/>
    <w:rsid w:val="00CA2ABD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uthor">
    <w:name w:val="Author"/>
    <w:rsid w:val="00BB3CB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styleId="a4">
    <w:name w:val="Body Text"/>
    <w:basedOn w:val="a"/>
    <w:link w:val="a5"/>
    <w:rsid w:val="00BB3CBA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B3CBA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customStyle="1" w:styleId="figurecaption">
    <w:name w:val="figure caption"/>
    <w:rsid w:val="00BB3CBA"/>
    <w:pPr>
      <w:numPr>
        <w:numId w:val="1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MDPI31text">
    <w:name w:val="MDPI_3.1_text"/>
    <w:qFormat/>
    <w:rsid w:val="00BB3CBA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tablehead">
    <w:name w:val="table head"/>
    <w:rsid w:val="00BB3CBA"/>
    <w:p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table" w:styleId="a6">
    <w:name w:val="Table Grid"/>
    <w:basedOn w:val="a1"/>
    <w:uiPriority w:val="39"/>
    <w:rsid w:val="00BB3C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0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345C"/>
    <w:rPr>
      <w:b/>
      <w:bCs/>
    </w:rPr>
  </w:style>
  <w:style w:type="character" w:customStyle="1" w:styleId="typography-modulelvnit">
    <w:name w:val="typography-module__lvnit"/>
    <w:basedOn w:val="a0"/>
    <w:rsid w:val="00580D9A"/>
  </w:style>
  <w:style w:type="character" w:customStyle="1" w:styleId="authors-moduleumr1o">
    <w:name w:val="authors-module__umr1o"/>
    <w:basedOn w:val="a0"/>
    <w:rsid w:val="00580D9A"/>
  </w:style>
  <w:style w:type="paragraph" w:customStyle="1" w:styleId="references">
    <w:name w:val="references"/>
    <w:qFormat/>
    <w:rsid w:val="00580D9A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styleId="a9">
    <w:name w:val="Emphasis"/>
    <w:basedOn w:val="a0"/>
    <w:uiPriority w:val="20"/>
    <w:qFormat/>
    <w:rsid w:val="00580D9A"/>
    <w:rPr>
      <w:i/>
      <w:iCs/>
    </w:rPr>
  </w:style>
  <w:style w:type="character" w:customStyle="1" w:styleId="nowrap">
    <w:name w:val="nowrap"/>
    <w:basedOn w:val="a0"/>
    <w:rsid w:val="00CE0FD5"/>
  </w:style>
  <w:style w:type="paragraph" w:styleId="aa">
    <w:name w:val="List Paragraph"/>
    <w:basedOn w:val="a"/>
    <w:uiPriority w:val="34"/>
    <w:qFormat/>
    <w:rsid w:val="00CE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view/865962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org/persons/476328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79213866205@yandex.ru" TargetMode="External"/><Relationship Id="rId10" Type="http://schemas.openxmlformats.org/officeDocument/2006/relationships/hyperlink" Target="https://publications.hse.ru/view/803261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47632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Клименко</dc:creator>
  <cp:keywords/>
  <dc:description/>
  <cp:lastModifiedBy>Роман Клименко</cp:lastModifiedBy>
  <cp:revision>9</cp:revision>
  <dcterms:created xsi:type="dcterms:W3CDTF">2025-02-10T10:27:00Z</dcterms:created>
  <dcterms:modified xsi:type="dcterms:W3CDTF">2025-02-26T16:45:00Z</dcterms:modified>
</cp:coreProperties>
</file>