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CACF7" w14:textId="67C4E231" w:rsidR="00654A7B" w:rsidRDefault="00671786" w:rsidP="00671786">
      <w:pPr>
        <w:pStyle w:val="Zv-Titlereport"/>
        <w:spacing w:after="0"/>
      </w:pPr>
      <w:r w:rsidRPr="00536EFE">
        <w:rPr>
          <w:caps w:val="0"/>
        </w:rPr>
        <w:t xml:space="preserve">Разработка элементов оптической системы диагностики томсоновского рассеяния для диверторных кассет токамака </w:t>
      </w:r>
      <w:r>
        <w:rPr>
          <w:caps w:val="0"/>
        </w:rPr>
        <w:t>ИТЭР</w:t>
      </w:r>
    </w:p>
    <w:p w14:paraId="3AD3C263" w14:textId="2E5FE20A" w:rsidR="00AF2DD0" w:rsidRDefault="00AF2DD0" w:rsidP="00AF2DD0">
      <w:pPr>
        <w:pStyle w:val="Zv-Author"/>
        <w:rPr>
          <w:vertAlign w:val="superscript"/>
        </w:rPr>
      </w:pPr>
      <w:r w:rsidRPr="00AF2DD0">
        <w:t>Кунгурцев Н.А.</w:t>
      </w:r>
      <w:r w:rsidR="00671786">
        <w:rPr>
          <w:vertAlign w:val="superscript"/>
        </w:rPr>
        <w:t>1</w:t>
      </w:r>
      <w:r w:rsidRPr="00AF2DD0">
        <w:t>,</w:t>
      </w:r>
      <w:r w:rsidR="00671786">
        <w:t xml:space="preserve"> </w:t>
      </w:r>
      <w:r w:rsidRPr="00AF2DD0">
        <w:t>Коваль А.Н.</w:t>
      </w:r>
      <w:r w:rsidR="00671786">
        <w:rPr>
          <w:vertAlign w:val="superscript"/>
        </w:rPr>
        <w:t>1</w:t>
      </w:r>
      <w:r w:rsidRPr="00AF2DD0">
        <w:t>, Мухин Е.Е.</w:t>
      </w:r>
      <w:r w:rsidR="00671786">
        <w:rPr>
          <w:vertAlign w:val="superscript"/>
        </w:rPr>
        <w:t>1</w:t>
      </w:r>
      <w:r w:rsidRPr="00AF2DD0">
        <w:t>, Толстяков С.Ю.</w:t>
      </w:r>
      <w:r w:rsidR="00671786">
        <w:rPr>
          <w:vertAlign w:val="superscript"/>
        </w:rPr>
        <w:t>1</w:t>
      </w:r>
      <w:r w:rsidRPr="00AF2DD0">
        <w:t>, Раздобарин А.Г.</w:t>
      </w:r>
      <w:r w:rsidR="00671786">
        <w:rPr>
          <w:vertAlign w:val="superscript"/>
        </w:rPr>
        <w:t>1</w:t>
      </w:r>
      <w:r w:rsidRPr="00AF2DD0">
        <w:t xml:space="preserve">, Букреев </w:t>
      </w:r>
      <w:r w:rsidR="00971E01">
        <w:t>И</w:t>
      </w:r>
      <w:r w:rsidRPr="00AF2DD0">
        <w:t>.</w:t>
      </w:r>
      <w:r w:rsidR="00971E01">
        <w:t>М</w:t>
      </w:r>
      <w:r w:rsidRPr="00AF2DD0">
        <w:t>.</w:t>
      </w:r>
      <w:r w:rsidR="00671786">
        <w:rPr>
          <w:vertAlign w:val="superscript"/>
        </w:rPr>
        <w:t>1</w:t>
      </w:r>
      <w:r w:rsidRPr="00AF2DD0">
        <w:t>, Кириенко И.Д.</w:t>
      </w:r>
      <w:r w:rsidR="00671786" w:rsidRPr="00671786">
        <w:rPr>
          <w:vertAlign w:val="superscript"/>
        </w:rPr>
        <w:t xml:space="preserve"> </w:t>
      </w:r>
      <w:r w:rsidR="00671786" w:rsidRPr="00AF2DD0">
        <w:rPr>
          <w:vertAlign w:val="superscript"/>
        </w:rPr>
        <w:t>2</w:t>
      </w:r>
      <w:r w:rsidRPr="00AF2DD0">
        <w:t>,</w:t>
      </w:r>
      <w:r w:rsidR="00671786">
        <w:t xml:space="preserve"> </w:t>
      </w:r>
      <w:r w:rsidRPr="00AF2DD0">
        <w:t>Жадковский А.А.</w:t>
      </w:r>
      <w:r w:rsidR="00671786" w:rsidRPr="00AF2DD0">
        <w:rPr>
          <w:vertAlign w:val="superscript"/>
        </w:rPr>
        <w:t>2</w:t>
      </w:r>
      <w:r w:rsidRPr="00AF2DD0">
        <w:t>,</w:t>
      </w:r>
      <w:r w:rsidR="00671786">
        <w:t xml:space="preserve"> </w:t>
      </w:r>
      <w:r w:rsidRPr="00AF2DD0">
        <w:t>Модестов В.И.</w:t>
      </w:r>
      <w:r w:rsidR="00671786" w:rsidRPr="00AF2DD0">
        <w:rPr>
          <w:vertAlign w:val="superscript"/>
        </w:rPr>
        <w:t>2</w:t>
      </w:r>
      <w:r w:rsidRPr="00AF2DD0">
        <w:t>, Богачев</w:t>
      </w:r>
      <w:r w:rsidR="00A07C16">
        <w:t> </w:t>
      </w:r>
      <w:r w:rsidRPr="00AF2DD0">
        <w:t>Д.Л.</w:t>
      </w:r>
      <w:r w:rsidR="00671786" w:rsidRPr="00AF2DD0">
        <w:rPr>
          <w:vertAlign w:val="superscript"/>
        </w:rPr>
        <w:t>3</w:t>
      </w:r>
    </w:p>
    <w:p w14:paraId="1F7EAD10" w14:textId="74797DDA" w:rsidR="00A07C16" w:rsidRDefault="00A07C16" w:rsidP="00A07C16">
      <w:pPr>
        <w:pStyle w:val="Zv-Organization"/>
        <w:spacing w:after="0"/>
        <w:jc w:val="center"/>
      </w:pPr>
      <w:r>
        <w:t>Аспирант</w:t>
      </w:r>
    </w:p>
    <w:p w14:paraId="6E141818" w14:textId="0B9845AB" w:rsidR="00AF2DD0" w:rsidRDefault="00AF2DD0" w:rsidP="00A07C16">
      <w:pPr>
        <w:pStyle w:val="Zv-Organization"/>
        <w:spacing w:after="0"/>
        <w:jc w:val="center"/>
      </w:pPr>
      <w:r w:rsidRPr="00AF2DD0">
        <w:rPr>
          <w:vertAlign w:val="superscript"/>
        </w:rPr>
        <w:t>1</w:t>
      </w:r>
      <w:r>
        <w:t>ФТИ им. А.Ф. Иоффе, Российская Федерация, Санкт-Петербург,</w:t>
      </w:r>
      <w:r>
        <w:br/>
      </w:r>
      <w:r w:rsidRPr="00AF2DD0">
        <w:rPr>
          <w:vertAlign w:val="superscript"/>
        </w:rPr>
        <w:t>2</w:t>
      </w:r>
      <w:r>
        <w:t>Санкт-Петербургский политехнический университет Петра Великого, Российская Федерация, Санкт-Петербург,</w:t>
      </w:r>
      <w:r>
        <w:br/>
      </w:r>
      <w:r w:rsidRPr="00AF2DD0">
        <w:rPr>
          <w:vertAlign w:val="superscript"/>
        </w:rPr>
        <w:t>3</w:t>
      </w:r>
      <w:r>
        <w:t>ООО «Спектрал-Тех», Российская Федерация, Санкт-Петербург.</w:t>
      </w:r>
    </w:p>
    <w:p w14:paraId="4E5D4AD9" w14:textId="31B5A96A" w:rsidR="00A07C16" w:rsidRPr="00A07C16" w:rsidRDefault="00A07C16" w:rsidP="00A07C16">
      <w:pPr>
        <w:pStyle w:val="Zv-bodyreport"/>
        <w:jc w:val="center"/>
        <w:rPr>
          <w:i/>
          <w:iCs/>
        </w:rPr>
      </w:pPr>
      <w:r>
        <w:rPr>
          <w:i/>
          <w:iCs/>
          <w:lang w:val="en-US"/>
        </w:rPr>
        <w:t xml:space="preserve">e-mail: </w:t>
      </w:r>
      <w:r w:rsidRPr="00A07C16">
        <w:rPr>
          <w:i/>
          <w:iCs/>
        </w:rPr>
        <w:t>nakungurtsev@vk.com</w:t>
      </w:r>
    </w:p>
    <w:p w14:paraId="48D99FDB" w14:textId="46DC384B" w:rsidR="00AF4EFA" w:rsidRDefault="003C0007" w:rsidP="00A07C16">
      <w:pPr>
        <w:pStyle w:val="Zv-bodyreport"/>
        <w:ind w:firstLine="397"/>
      </w:pPr>
      <w:r>
        <w:t>В докладе представлено состояние дел по разработке</w:t>
      </w:r>
      <w:r w:rsidR="00AF4EFA">
        <w:t xml:space="preserve"> компонентов оптического тракта диагностики томсоновского рассеяния, расположенных на диверторных кассетах токамака ИТЭР в непосредственной близости от термоядерной плазмы. Одной из задач диагностики томсоновского рассеяния в диверторной плазме токамака ИТЭР является предоставление данных о пространственном распределении электронной температуры и концентрации для управления режимами разряда [1]. Другое функциональное назначение диагностики состоит в сборе информации для анализа физических процессов и разработки надежных моделей и кодов управления режимами. </w:t>
      </w:r>
      <w:r w:rsidR="00671786">
        <w:t>Диагностические компоненты</w:t>
      </w:r>
      <w:r w:rsidR="00671786" w:rsidRPr="00671786">
        <w:t xml:space="preserve">, установленные на </w:t>
      </w:r>
      <w:r w:rsidR="00671786">
        <w:t xml:space="preserve">диверторных </w:t>
      </w:r>
      <w:r w:rsidR="00671786" w:rsidRPr="00671786">
        <w:t>кассетах 21 и 22, функционируют в экстремальных условиях: радиационный нагрев, воздействие мощных магнитных полей, динамические нагрузки от вихревых токов, возникающих при срывах плазменного разряда. Их надежность напрямую влияет на работоспособность диагностических систем и всего реактора.</w:t>
      </w:r>
      <w:r w:rsidR="00AF4EFA">
        <w:t xml:space="preserve"> </w:t>
      </w:r>
      <w:r w:rsidR="0076431A">
        <w:t>Д</w:t>
      </w:r>
      <w:r w:rsidR="00AF4EFA">
        <w:t xml:space="preserve">иагностические компоненты, расположенные на диверторных кассетах 21 и 22, </w:t>
      </w:r>
      <w:r w:rsidR="00DA789D">
        <w:t xml:space="preserve">по функциональному назначению </w:t>
      </w:r>
      <w:r w:rsidR="00AF4EFA">
        <w:t>делятся на</w:t>
      </w:r>
    </w:p>
    <w:p w14:paraId="5FD6816E" w14:textId="69EA9AC8" w:rsidR="00AF4EFA" w:rsidRDefault="00AF4EFA" w:rsidP="00A07C16">
      <w:pPr>
        <w:pStyle w:val="Zv-bodyreport"/>
        <w:ind w:firstLine="397"/>
      </w:pPr>
      <w:r>
        <w:t>- газодинамическую защиту лазерных зеркал от продуктов эрозии первой стенки при импульсных бросках давления на границе плазменного разряда (Dust baffle и Laser visor)</w:t>
      </w:r>
      <w:r w:rsidR="007F629A" w:rsidRPr="007F629A">
        <w:t xml:space="preserve"> [2]</w:t>
      </w:r>
      <w:r>
        <w:t>,</w:t>
      </w:r>
    </w:p>
    <w:p w14:paraId="43302FE1" w14:textId="6AFF9456" w:rsidR="00AF4EFA" w:rsidRDefault="00AF4EFA" w:rsidP="00A07C16">
      <w:pPr>
        <w:pStyle w:val="Zv-bodyreport"/>
        <w:ind w:firstLine="397"/>
      </w:pPr>
      <w:r>
        <w:t>- экранирование системы сбора рассеянного на плазме лазерного излучения от свечения нагретых диверторных пластин (Защитные бленды – Shadow screens) на 21 и 22 диверторных кассетах,</w:t>
      </w:r>
    </w:p>
    <w:p w14:paraId="438D6F8F" w14:textId="3AF8847D" w:rsidR="00B11C75" w:rsidRPr="0076431A" w:rsidRDefault="00AF4EFA" w:rsidP="00A07C16">
      <w:pPr>
        <w:pStyle w:val="Zv-bodyreport"/>
        <w:ind w:firstLine="397"/>
        <w:rPr>
          <w:highlight w:val="yellow"/>
        </w:rPr>
      </w:pPr>
      <w:r>
        <w:t>- защиты стенки вакуумного объема от мощного лазерного излучения (ловушка лазерного излучения – Laser beam dump).</w:t>
      </w:r>
    </w:p>
    <w:p w14:paraId="001CF8E4" w14:textId="336411B4" w:rsidR="00A07C16" w:rsidRDefault="00A07C16" w:rsidP="00A07C16">
      <w:pPr>
        <w:pStyle w:val="Zv-bodyreport"/>
        <w:ind w:firstLine="397"/>
      </w:pPr>
      <w:r w:rsidRPr="00A07C16">
        <w:t>Для изготовления компонентов используются термостойкие и радиационно-стойкие материалы: монокристаллический молибден, сплав TZM (</w:t>
      </w:r>
      <w:r w:rsidRPr="0076431A">
        <w:t>молибден, цирконий, титан</w:t>
      </w:r>
      <w:r w:rsidRPr="00A07C16">
        <w:t xml:space="preserve">), Inconel718, нержавеющая сталь 316 L(N)-IG, а также графитовые пластины PAPYEX, обеспечивающие эффективный тепловой контакт с охлаждаемыми элементами </w:t>
      </w:r>
      <w:r>
        <w:t xml:space="preserve">диверторных </w:t>
      </w:r>
      <w:r w:rsidRPr="00A07C16">
        <w:t>кассет.</w:t>
      </w:r>
    </w:p>
    <w:p w14:paraId="5D2956CC" w14:textId="45666842" w:rsidR="00AF4EFA" w:rsidRDefault="0054702A" w:rsidP="00A07C16">
      <w:pPr>
        <w:pStyle w:val="Zv-bodyreport"/>
        <w:ind w:firstLine="397"/>
      </w:pPr>
      <w:r>
        <w:rPr>
          <w:rFonts w:hint="eastAsia"/>
        </w:rPr>
        <w:t>П</w:t>
      </w:r>
      <w:r>
        <w:t xml:space="preserve">роведен анализ приложенных электромагнитных и термомеханических нагрузок. </w:t>
      </w:r>
      <w:r w:rsidR="00AF4EFA" w:rsidRPr="0076431A">
        <w:rPr>
          <w:rFonts w:hint="eastAsia"/>
        </w:rPr>
        <w:t>Численное</w:t>
      </w:r>
      <w:r w:rsidR="00AF4EFA" w:rsidRPr="0076431A">
        <w:t xml:space="preserve"> моделирование возникающих напряжений в конструктивных элементах с использованием программного пакета ANSYS показало, что максимальные значения напряжений не превышают допустимых</w:t>
      </w:r>
      <w:r w:rsidR="00067F8D" w:rsidRPr="0076431A">
        <w:t xml:space="preserve"> для выбранных материалов</w:t>
      </w:r>
      <w:r w:rsidR="00AF4EFA" w:rsidRPr="0076431A">
        <w:t xml:space="preserve"> </w:t>
      </w:r>
      <w:r w:rsidR="00067F8D" w:rsidRPr="0076431A">
        <w:t>в соответствии с принятыми правилами проектирования</w:t>
      </w:r>
      <w:r w:rsidR="00A07C16">
        <w:t xml:space="preserve"> </w:t>
      </w:r>
      <w:r w:rsidR="00A07C16" w:rsidRPr="00A07C16">
        <w:t>ИТЭР</w:t>
      </w:r>
      <w:r w:rsidR="00AF4EFA" w:rsidRPr="0076431A">
        <w:t>, что обеспечивает долговременную эксплуатац</w:t>
      </w:r>
      <w:r w:rsidR="00AF4EFA" w:rsidRPr="0076431A">
        <w:rPr>
          <w:rFonts w:hint="eastAsia"/>
        </w:rPr>
        <w:t>ию</w:t>
      </w:r>
      <w:r w:rsidR="00AF4EFA" w:rsidRPr="0076431A">
        <w:t xml:space="preserve"> разработанных диагностических компонентов, расположенных на диверторных кассетах 21 и 22.</w:t>
      </w:r>
    </w:p>
    <w:p w14:paraId="6499613A" w14:textId="77777777" w:rsidR="00AF4EFA" w:rsidRDefault="00AF4EFA" w:rsidP="00AF4EFA">
      <w:pPr>
        <w:pStyle w:val="Zv-TitleReferences-ru"/>
      </w:pPr>
      <w:r>
        <w:t>Литература.</w:t>
      </w:r>
    </w:p>
    <w:p w14:paraId="79D6243D" w14:textId="77777777" w:rsidR="00AF4EFA" w:rsidRDefault="00AF4EFA" w:rsidP="00AF4EFA">
      <w:pPr>
        <w:pStyle w:val="Zv-References-ru"/>
        <w:numPr>
          <w:ilvl w:val="0"/>
          <w:numId w:val="1"/>
        </w:numPr>
      </w:pPr>
      <w:r w:rsidRPr="00AF4EFA">
        <w:rPr>
          <w:lang w:val="en-US"/>
        </w:rPr>
        <w:t xml:space="preserve">Mukhin E.E. et al., «Physical aspects of divertor Thomson scattering implementation on ITER» Nucl. </w:t>
      </w:r>
      <w:r>
        <w:t>Fusion 54 (2014) 043007</w:t>
      </w:r>
    </w:p>
    <w:p w14:paraId="3D779C95" w14:textId="444330BE" w:rsidR="00AF4EFA" w:rsidRPr="0075377F" w:rsidRDefault="00AF4EFA" w:rsidP="00AF4EFA">
      <w:pPr>
        <w:pStyle w:val="Zv-References-ru"/>
        <w:numPr>
          <w:ilvl w:val="0"/>
          <w:numId w:val="1"/>
        </w:numPr>
      </w:pPr>
      <w:r>
        <w:t>Букреев И.М. и др., «Комплекс мер защиты оптики от загрязнения в диагностических каналах токамаков» Instrum. Exp. Tech. 57 (2014) 155-164</w:t>
      </w:r>
    </w:p>
    <w:sectPr w:rsidR="00AF4EFA" w:rsidRPr="0075377F" w:rsidSect="00A07C16">
      <w:footerReference w:type="even" r:id="rId7"/>
      <w:footerReference w:type="default" r:id="rId8"/>
      <w:pgSz w:w="11906" w:h="16838"/>
      <w:pgMar w:top="1134" w:right="1361" w:bottom="1259" w:left="136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B79EB" w14:textId="77777777" w:rsidR="0019116B" w:rsidRDefault="0019116B">
      <w:r>
        <w:separator/>
      </w:r>
    </w:p>
  </w:endnote>
  <w:endnote w:type="continuationSeparator" w:id="0">
    <w:p w14:paraId="58DA44DE" w14:textId="77777777" w:rsidR="0019116B" w:rsidRDefault="0019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7C6B" w14:textId="77777777" w:rsidR="00F74399" w:rsidRDefault="00F23DA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1AAFEE6" w14:textId="77777777" w:rsidR="00F74399" w:rsidRDefault="00F743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9007" w14:textId="77777777" w:rsidR="00F74399" w:rsidRDefault="00F23DA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C4A20">
      <w:rPr>
        <w:rStyle w:val="a6"/>
        <w:noProof/>
      </w:rPr>
      <w:t>1</w:t>
    </w:r>
    <w:r>
      <w:rPr>
        <w:rStyle w:val="a6"/>
      </w:rPr>
      <w:fldChar w:fldCharType="end"/>
    </w:r>
  </w:p>
  <w:p w14:paraId="07AE2AD9" w14:textId="77777777" w:rsidR="00F74399" w:rsidRDefault="00F743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040A2" w14:textId="77777777" w:rsidR="0019116B" w:rsidRDefault="0019116B">
      <w:r>
        <w:separator/>
      </w:r>
    </w:p>
  </w:footnote>
  <w:footnote w:type="continuationSeparator" w:id="0">
    <w:p w14:paraId="7557ED6C" w14:textId="77777777" w:rsidR="0019116B" w:rsidRDefault="00191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55E54"/>
    <w:multiLevelType w:val="multilevel"/>
    <w:tmpl w:val="27C06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D0"/>
    <w:rsid w:val="00035D44"/>
    <w:rsid w:val="00037DCC"/>
    <w:rsid w:val="0004165A"/>
    <w:rsid w:val="00041FE3"/>
    <w:rsid w:val="00043701"/>
    <w:rsid w:val="00062AFF"/>
    <w:rsid w:val="00065DA3"/>
    <w:rsid w:val="00067F8D"/>
    <w:rsid w:val="0007146A"/>
    <w:rsid w:val="00091BBF"/>
    <w:rsid w:val="00096F4B"/>
    <w:rsid w:val="000A6CB4"/>
    <w:rsid w:val="000A6E43"/>
    <w:rsid w:val="000C7078"/>
    <w:rsid w:val="000D3456"/>
    <w:rsid w:val="000D76E9"/>
    <w:rsid w:val="000E495B"/>
    <w:rsid w:val="00111FC4"/>
    <w:rsid w:val="00135064"/>
    <w:rsid w:val="00140645"/>
    <w:rsid w:val="00153503"/>
    <w:rsid w:val="00157EB6"/>
    <w:rsid w:val="00161D7C"/>
    <w:rsid w:val="00171964"/>
    <w:rsid w:val="0019116B"/>
    <w:rsid w:val="00197610"/>
    <w:rsid w:val="001C0CCB"/>
    <w:rsid w:val="001C22FD"/>
    <w:rsid w:val="001C4A20"/>
    <w:rsid w:val="001F31BC"/>
    <w:rsid w:val="00200AB2"/>
    <w:rsid w:val="00220629"/>
    <w:rsid w:val="002451E9"/>
    <w:rsid w:val="00247225"/>
    <w:rsid w:val="002662BA"/>
    <w:rsid w:val="00292A83"/>
    <w:rsid w:val="002A556E"/>
    <w:rsid w:val="002D4973"/>
    <w:rsid w:val="002D4A83"/>
    <w:rsid w:val="002E3795"/>
    <w:rsid w:val="00330DE5"/>
    <w:rsid w:val="00336520"/>
    <w:rsid w:val="00352DB2"/>
    <w:rsid w:val="00363218"/>
    <w:rsid w:val="00370072"/>
    <w:rsid w:val="003800F3"/>
    <w:rsid w:val="003A35B2"/>
    <w:rsid w:val="003B5B93"/>
    <w:rsid w:val="003C0007"/>
    <w:rsid w:val="003C1B47"/>
    <w:rsid w:val="003C590E"/>
    <w:rsid w:val="003D6231"/>
    <w:rsid w:val="00401388"/>
    <w:rsid w:val="00414E29"/>
    <w:rsid w:val="004202FA"/>
    <w:rsid w:val="00446025"/>
    <w:rsid w:val="00447ABC"/>
    <w:rsid w:val="00447B37"/>
    <w:rsid w:val="0046637D"/>
    <w:rsid w:val="00466B27"/>
    <w:rsid w:val="004A77D1"/>
    <w:rsid w:val="004B554C"/>
    <w:rsid w:val="004B72AA"/>
    <w:rsid w:val="004E026B"/>
    <w:rsid w:val="004F4E29"/>
    <w:rsid w:val="0052337C"/>
    <w:rsid w:val="00536EFE"/>
    <w:rsid w:val="00541043"/>
    <w:rsid w:val="005435BB"/>
    <w:rsid w:val="0054702A"/>
    <w:rsid w:val="00554D46"/>
    <w:rsid w:val="00564F2F"/>
    <w:rsid w:val="00567C6F"/>
    <w:rsid w:val="00572013"/>
    <w:rsid w:val="005808AD"/>
    <w:rsid w:val="0058676C"/>
    <w:rsid w:val="005E5B18"/>
    <w:rsid w:val="005F770B"/>
    <w:rsid w:val="00650CBC"/>
    <w:rsid w:val="006519BF"/>
    <w:rsid w:val="00654A7B"/>
    <w:rsid w:val="00671786"/>
    <w:rsid w:val="00683140"/>
    <w:rsid w:val="006A1743"/>
    <w:rsid w:val="006F3B0B"/>
    <w:rsid w:val="006F68D0"/>
    <w:rsid w:val="00700F98"/>
    <w:rsid w:val="0071299F"/>
    <w:rsid w:val="00732A2E"/>
    <w:rsid w:val="00753ED1"/>
    <w:rsid w:val="0076431A"/>
    <w:rsid w:val="007B6378"/>
    <w:rsid w:val="007F629A"/>
    <w:rsid w:val="00802D35"/>
    <w:rsid w:val="00835A2D"/>
    <w:rsid w:val="00874881"/>
    <w:rsid w:val="00876C6F"/>
    <w:rsid w:val="00891840"/>
    <w:rsid w:val="008D1357"/>
    <w:rsid w:val="008E2894"/>
    <w:rsid w:val="009404D6"/>
    <w:rsid w:val="0094721E"/>
    <w:rsid w:val="009515CF"/>
    <w:rsid w:val="009657B2"/>
    <w:rsid w:val="00971B4C"/>
    <w:rsid w:val="00971E01"/>
    <w:rsid w:val="00976C19"/>
    <w:rsid w:val="009E449F"/>
    <w:rsid w:val="00A07C16"/>
    <w:rsid w:val="00A30CC5"/>
    <w:rsid w:val="00A66876"/>
    <w:rsid w:val="00A6698D"/>
    <w:rsid w:val="00A71613"/>
    <w:rsid w:val="00A85721"/>
    <w:rsid w:val="00A920D1"/>
    <w:rsid w:val="00A94976"/>
    <w:rsid w:val="00AA2015"/>
    <w:rsid w:val="00AB3459"/>
    <w:rsid w:val="00AB416C"/>
    <w:rsid w:val="00AF2DD0"/>
    <w:rsid w:val="00AF4EFA"/>
    <w:rsid w:val="00AF5EC8"/>
    <w:rsid w:val="00B04CF8"/>
    <w:rsid w:val="00B055F8"/>
    <w:rsid w:val="00B11C75"/>
    <w:rsid w:val="00B1309F"/>
    <w:rsid w:val="00B17AE3"/>
    <w:rsid w:val="00B3051F"/>
    <w:rsid w:val="00B329AF"/>
    <w:rsid w:val="00B36D9C"/>
    <w:rsid w:val="00B622ED"/>
    <w:rsid w:val="00B65628"/>
    <w:rsid w:val="00B71CF7"/>
    <w:rsid w:val="00B9584E"/>
    <w:rsid w:val="00BB084C"/>
    <w:rsid w:val="00BD05EF"/>
    <w:rsid w:val="00BD6BFB"/>
    <w:rsid w:val="00C02DDE"/>
    <w:rsid w:val="00C103CD"/>
    <w:rsid w:val="00C232A0"/>
    <w:rsid w:val="00C37452"/>
    <w:rsid w:val="00C7297C"/>
    <w:rsid w:val="00C82886"/>
    <w:rsid w:val="00C859AF"/>
    <w:rsid w:val="00CA791E"/>
    <w:rsid w:val="00CB521D"/>
    <w:rsid w:val="00CB750B"/>
    <w:rsid w:val="00CD199A"/>
    <w:rsid w:val="00CE0E75"/>
    <w:rsid w:val="00D04151"/>
    <w:rsid w:val="00D35EB2"/>
    <w:rsid w:val="00D42A85"/>
    <w:rsid w:val="00D47F19"/>
    <w:rsid w:val="00D577AB"/>
    <w:rsid w:val="00D935B7"/>
    <w:rsid w:val="00DA58C7"/>
    <w:rsid w:val="00DA789D"/>
    <w:rsid w:val="00DE711F"/>
    <w:rsid w:val="00DF1C1D"/>
    <w:rsid w:val="00E1331D"/>
    <w:rsid w:val="00E7021A"/>
    <w:rsid w:val="00E87733"/>
    <w:rsid w:val="00EC72A1"/>
    <w:rsid w:val="00ED5D42"/>
    <w:rsid w:val="00EF46B4"/>
    <w:rsid w:val="00EF659C"/>
    <w:rsid w:val="00EF6C83"/>
    <w:rsid w:val="00F035AD"/>
    <w:rsid w:val="00F23DA7"/>
    <w:rsid w:val="00F50F27"/>
    <w:rsid w:val="00F74399"/>
    <w:rsid w:val="00F95123"/>
    <w:rsid w:val="00FA7792"/>
    <w:rsid w:val="00FD4AAE"/>
    <w:rsid w:val="00FE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746008"/>
  <w15:docId w15:val="{55DF0940-2390-4648-81FB-C93EAD2A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AF4EF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71E01"/>
    <w:rPr>
      <w:color w:val="605E5C"/>
      <w:shd w:val="clear" w:color="auto" w:fill="E1DFDD"/>
    </w:rPr>
  </w:style>
  <w:style w:type="character" w:styleId="aa">
    <w:name w:val="Placeholder Text"/>
    <w:basedOn w:val="a0"/>
    <w:uiPriority w:val="99"/>
    <w:semiHidden/>
    <w:rsid w:val="002D4973"/>
    <w:rPr>
      <w:color w:val="808080"/>
    </w:rPr>
  </w:style>
  <w:style w:type="character" w:customStyle="1" w:styleId="ezkurwreuab5ozgtqnkl">
    <w:name w:val="ezkurwreuab5ozgtqnkl"/>
    <w:basedOn w:val="a0"/>
    <w:rsid w:val="00D577AB"/>
  </w:style>
  <w:style w:type="character" w:styleId="ab">
    <w:name w:val="annotation reference"/>
    <w:basedOn w:val="a0"/>
    <w:semiHidden/>
    <w:unhideWhenUsed/>
    <w:rsid w:val="00753ED1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753ED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753ED1"/>
  </w:style>
  <w:style w:type="paragraph" w:styleId="ae">
    <w:name w:val="annotation subject"/>
    <w:basedOn w:val="ac"/>
    <w:next w:val="ac"/>
    <w:link w:val="af"/>
    <w:semiHidden/>
    <w:unhideWhenUsed/>
    <w:rsid w:val="00753ED1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53ED1"/>
    <w:rPr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6717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53;&#1072;&#1089;&#1090;&#1088;&#1072;&#1080;&#1074;&#1072;&#1077;&#1084;&#1099;&#1077;%20&#1096;&#1072;&#1073;&#1083;&#1086;&#1085;&#1099;%20Office\&#1090;&#1077;&#1079;&#1080;&#1089;&#109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тезисы</Template>
  <TotalTime>54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Звенигород</vt:lpstr>
      <vt:lpstr>Звенигород</vt:lpstr>
    </vt:vector>
  </TitlesOfParts>
  <Company>k13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Звенигород</dc:title>
  <dc:creator>User</dc:creator>
  <cp:keywords>Шаблон</cp:keywords>
  <cp:lastModifiedBy>Nikita Kungurtcev</cp:lastModifiedBy>
  <cp:revision>9</cp:revision>
  <cp:lastPrinted>1899-12-31T21:00:00Z</cp:lastPrinted>
  <dcterms:created xsi:type="dcterms:W3CDTF">2024-11-08T13:37:00Z</dcterms:created>
  <dcterms:modified xsi:type="dcterms:W3CDTF">2025-03-01T21:13:00Z</dcterms:modified>
</cp:coreProperties>
</file>