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52" w:rsidRPr="00180F9B" w:rsidRDefault="007E4652" w:rsidP="007E4652">
      <w:pPr>
        <w:ind w:firstLine="0"/>
        <w:jc w:val="center"/>
        <w:rPr>
          <w:rFonts w:eastAsia="Times New Roman"/>
          <w:b/>
          <w:bCs/>
          <w:kern w:val="32"/>
        </w:rPr>
      </w:pPr>
      <w:r w:rsidRPr="00180F9B">
        <w:rPr>
          <w:rFonts w:eastAsia="Times New Roman"/>
          <w:b/>
          <w:bCs/>
          <w:kern w:val="32"/>
        </w:rPr>
        <w:t xml:space="preserve">Анализ возмущенности электромагнитного </w:t>
      </w:r>
      <w:proofErr w:type="gramStart"/>
      <w:r w:rsidRPr="00180F9B">
        <w:rPr>
          <w:rFonts w:eastAsia="Times New Roman"/>
          <w:b/>
          <w:bCs/>
          <w:kern w:val="32"/>
        </w:rPr>
        <w:t>крайне низкочаст</w:t>
      </w:r>
      <w:r w:rsidR="00180F9B">
        <w:rPr>
          <w:rFonts w:eastAsia="Times New Roman"/>
          <w:b/>
          <w:bCs/>
          <w:kern w:val="32"/>
        </w:rPr>
        <w:t>от</w:t>
      </w:r>
      <w:r w:rsidRPr="00180F9B">
        <w:rPr>
          <w:rFonts w:eastAsia="Times New Roman"/>
          <w:b/>
          <w:bCs/>
          <w:kern w:val="32"/>
        </w:rPr>
        <w:t>ного</w:t>
      </w:r>
      <w:proofErr w:type="gramEnd"/>
      <w:r w:rsidRPr="00180F9B">
        <w:rPr>
          <w:rFonts w:eastAsia="Times New Roman"/>
          <w:b/>
          <w:bCs/>
          <w:kern w:val="32"/>
        </w:rPr>
        <w:t xml:space="preserve"> фона в зимний период по данным многолетних измерений в Томске</w:t>
      </w:r>
    </w:p>
    <w:p w:rsidR="007E4652" w:rsidRPr="00670C5D" w:rsidRDefault="007E4652" w:rsidP="007E4652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  <w:lang w:val="ru-RU"/>
        </w:rPr>
      </w:pPr>
      <w:proofErr w:type="spellStart"/>
      <w:r w:rsidRPr="00670C5D">
        <w:rPr>
          <w:rStyle w:val="a6"/>
          <w:i/>
          <w:iCs/>
          <w:color w:val="353535"/>
          <w:lang w:val="ru-RU"/>
        </w:rPr>
        <w:t>Проваренко</w:t>
      </w:r>
      <w:proofErr w:type="spellEnd"/>
      <w:r w:rsidRPr="00670C5D">
        <w:rPr>
          <w:rStyle w:val="a6"/>
          <w:i/>
          <w:iCs/>
          <w:color w:val="353535"/>
          <w:lang w:val="ru-RU"/>
        </w:rPr>
        <w:t xml:space="preserve"> Иван </w:t>
      </w:r>
      <w:r w:rsidRPr="00670C5D">
        <w:rPr>
          <w:rStyle w:val="a6"/>
          <w:i/>
          <w:iCs/>
          <w:color w:val="353535"/>
          <w:lang w:val="ru-RU"/>
        </w:rPr>
        <w:t>Евгенье</w:t>
      </w:r>
      <w:r w:rsidRPr="00670C5D">
        <w:rPr>
          <w:rStyle w:val="a6"/>
          <w:i/>
          <w:iCs/>
          <w:color w:val="353535"/>
          <w:lang w:val="ru-RU"/>
        </w:rPr>
        <w:t>вич</w:t>
      </w:r>
    </w:p>
    <w:p w:rsidR="007E4652" w:rsidRPr="00670C5D" w:rsidRDefault="007E4652" w:rsidP="007E4652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  <w:lang w:val="ru-RU"/>
        </w:rPr>
      </w:pPr>
      <w:r w:rsidRPr="00670C5D">
        <w:rPr>
          <w:rStyle w:val="a3"/>
          <w:color w:val="353535"/>
          <w:lang w:val="ru-RU"/>
        </w:rPr>
        <w:t>Студент</w:t>
      </w:r>
    </w:p>
    <w:p w:rsidR="007E4652" w:rsidRPr="00670C5D" w:rsidRDefault="007E4652" w:rsidP="007E4652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  <w:lang w:val="ru-RU"/>
        </w:rPr>
      </w:pPr>
      <w:r w:rsidRPr="00670C5D">
        <w:rPr>
          <w:i/>
          <w:iCs/>
          <w:color w:val="353535"/>
          <w:lang w:val="ru-RU"/>
        </w:rPr>
        <w:t xml:space="preserve">Национальный исследовательский Томский государственный университет, </w:t>
      </w:r>
      <w:r w:rsidRPr="00670C5D">
        <w:rPr>
          <w:rStyle w:val="a3"/>
          <w:color w:val="353535"/>
          <w:lang w:val="ru-RU"/>
        </w:rPr>
        <w:t>радиофизический</w:t>
      </w:r>
      <w:r w:rsidRPr="00670C5D">
        <w:rPr>
          <w:rStyle w:val="a3"/>
          <w:color w:val="353535"/>
          <w:lang w:val="ru-RU"/>
        </w:rPr>
        <w:t xml:space="preserve"> факультет, </w:t>
      </w:r>
      <w:r w:rsidRPr="00670C5D">
        <w:rPr>
          <w:rStyle w:val="a3"/>
          <w:color w:val="353535"/>
          <w:lang w:val="ru-RU"/>
        </w:rPr>
        <w:t>Томск</w:t>
      </w:r>
      <w:r w:rsidRPr="00670C5D">
        <w:rPr>
          <w:rStyle w:val="a3"/>
          <w:color w:val="353535"/>
          <w:lang w:val="ru-RU"/>
        </w:rPr>
        <w:t>, Россия</w:t>
      </w:r>
    </w:p>
    <w:p w:rsidR="007E4652" w:rsidRPr="00670C5D" w:rsidRDefault="007E4652" w:rsidP="007E4652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iCs/>
          <w:color w:val="353535"/>
          <w:lang w:val="ru-RU"/>
        </w:rPr>
      </w:pPr>
      <w:r w:rsidRPr="00670C5D">
        <w:rPr>
          <w:rStyle w:val="a3"/>
          <w:color w:val="353535"/>
        </w:rPr>
        <w:t xml:space="preserve">E–mail: </w:t>
      </w:r>
      <w:r w:rsidRPr="00A13861">
        <w:rPr>
          <w:i/>
          <w:iCs/>
          <w:color w:val="353535"/>
        </w:rPr>
        <w:t>Posthumanevents@gmail.com</w:t>
      </w:r>
      <w:bookmarkStart w:id="0" w:name="_GoBack"/>
      <w:bookmarkEnd w:id="0"/>
    </w:p>
    <w:p w:rsidR="00D11756" w:rsidRPr="00D11756" w:rsidRDefault="000030B5" w:rsidP="00670C5D">
      <w:pPr>
        <w:pStyle w:val="Default"/>
        <w:ind w:firstLine="397"/>
        <w:jc w:val="both"/>
        <w:rPr>
          <w:lang w:val="ru-RU"/>
        </w:rPr>
      </w:pPr>
      <w:r w:rsidRPr="008A1FFD">
        <w:rPr>
          <w:lang w:val="ru-RU"/>
        </w:rPr>
        <w:t xml:space="preserve">Глобальное </w:t>
      </w:r>
      <w:r w:rsidRPr="008A1FFD">
        <w:rPr>
          <w:lang w:val="ru-RU"/>
        </w:rPr>
        <w:t xml:space="preserve">распределение электромагнитной энергии в окружающей среде </w:t>
      </w:r>
      <w:r w:rsidR="00E10E7D" w:rsidRPr="008A1FFD">
        <w:rPr>
          <w:lang w:val="ru-RU"/>
        </w:rPr>
        <w:t>для</w:t>
      </w:r>
      <w:r w:rsidRPr="008A1FFD">
        <w:rPr>
          <w:lang w:val="ru-RU"/>
        </w:rPr>
        <w:t xml:space="preserve"> диапазон</w:t>
      </w:r>
      <w:r w:rsidR="00E10E7D" w:rsidRPr="008A1FFD">
        <w:rPr>
          <w:lang w:val="ru-RU"/>
        </w:rPr>
        <w:t>а</w:t>
      </w:r>
      <w:r w:rsidRPr="008A1FFD">
        <w:rPr>
          <w:lang w:val="ru-RU"/>
        </w:rPr>
        <w:t xml:space="preserve"> крайне</w:t>
      </w:r>
      <w:r w:rsidR="00E10E7D" w:rsidRPr="008A1FFD">
        <w:rPr>
          <w:lang w:val="ru-RU"/>
        </w:rPr>
        <w:t xml:space="preserve"> </w:t>
      </w:r>
      <w:r w:rsidRPr="008A1FFD">
        <w:rPr>
          <w:lang w:val="ru-RU"/>
        </w:rPr>
        <w:t xml:space="preserve">низких частот (3–30 Гц) </w:t>
      </w:r>
      <w:r w:rsidRPr="008A1FFD">
        <w:rPr>
          <w:lang w:val="ru-RU"/>
        </w:rPr>
        <w:t xml:space="preserve">определяется явлением, называемым шумановскими </w:t>
      </w:r>
      <w:r w:rsidR="00D11756" w:rsidRPr="008A1FFD">
        <w:rPr>
          <w:lang w:val="ru-RU"/>
        </w:rPr>
        <w:t>резонанс</w:t>
      </w:r>
      <w:r w:rsidRPr="008A1FFD">
        <w:rPr>
          <w:lang w:val="ru-RU"/>
        </w:rPr>
        <w:t xml:space="preserve">ами </w:t>
      </w:r>
      <w:r w:rsidR="00D11756" w:rsidRPr="008A1FFD">
        <w:rPr>
          <w:lang w:val="ru-RU"/>
        </w:rPr>
        <w:t xml:space="preserve">(ШР) </w:t>
      </w:r>
      <w:r w:rsidR="00D11756" w:rsidRPr="008A1FFD">
        <w:t>[</w:t>
      </w:r>
      <w:r w:rsidR="00BE3F83" w:rsidRPr="008A1FFD">
        <w:rPr>
          <w:lang w:val="ru-RU"/>
        </w:rPr>
        <w:t>3</w:t>
      </w:r>
      <w:r w:rsidR="00D11756" w:rsidRPr="008A1FFD">
        <w:t>]</w:t>
      </w:r>
      <w:r w:rsidR="00D11756" w:rsidRPr="008A1FFD">
        <w:rPr>
          <w:lang w:val="ru-RU"/>
        </w:rPr>
        <w:t xml:space="preserve">. Этот механизм впервые был теоретически предсказан В.О. Шуманом в 1952 году, в силу чего и получил свое название. </w:t>
      </w:r>
      <w:r w:rsidRPr="008A1FFD">
        <w:rPr>
          <w:lang w:val="ru-RU"/>
        </w:rPr>
        <w:t xml:space="preserve">На кафедре космической физики и экологии РФФ ТГУ исследования </w:t>
      </w:r>
      <w:r w:rsidR="00D11756" w:rsidRPr="008A1FFD">
        <w:rPr>
          <w:lang w:val="ru-RU"/>
        </w:rPr>
        <w:t>компонент ЭМ–фона и влияни</w:t>
      </w:r>
      <w:r w:rsidRPr="008A1FFD">
        <w:rPr>
          <w:lang w:val="ru-RU"/>
        </w:rPr>
        <w:t>я</w:t>
      </w:r>
      <w:r w:rsidR="00D11756" w:rsidRPr="008A1FFD">
        <w:rPr>
          <w:lang w:val="ru-RU"/>
        </w:rPr>
        <w:t xml:space="preserve"> на них гелиогеофизических факторов</w:t>
      </w:r>
      <w:r w:rsidRPr="008A1FFD">
        <w:rPr>
          <w:lang w:val="ru-RU"/>
        </w:rPr>
        <w:t xml:space="preserve"> проводятся с конца прошлого века </w:t>
      </w:r>
      <w:r w:rsidRPr="008A1FFD">
        <w:t>[</w:t>
      </w:r>
      <w:r w:rsidRPr="008A1FFD">
        <w:rPr>
          <w:lang w:val="ru-RU"/>
        </w:rPr>
        <w:t>3</w:t>
      </w:r>
      <w:r w:rsidRPr="008A1FFD">
        <w:t>]</w:t>
      </w:r>
      <w:r w:rsidR="00D11756" w:rsidRPr="008A1FFD">
        <w:rPr>
          <w:lang w:val="ru-RU"/>
        </w:rPr>
        <w:t>. По современным представлениям шумановские резонансы – явление интерференции волн, длина которых соизмерима с геометрическими размерами Земли, вызванное излучением от импульсных источников глобальной грозовой активности [</w:t>
      </w:r>
      <w:r w:rsidR="00BE3F83" w:rsidRPr="008A1FFD">
        <w:rPr>
          <w:lang w:val="ru-RU"/>
        </w:rPr>
        <w:t>5</w:t>
      </w:r>
      <w:r w:rsidRPr="008A1FFD">
        <w:t>,</w:t>
      </w:r>
      <w:r w:rsidR="00BE3F83" w:rsidRPr="008A1FFD">
        <w:rPr>
          <w:lang w:val="ru-RU"/>
        </w:rPr>
        <w:t xml:space="preserve"> 6</w:t>
      </w:r>
      <w:r w:rsidR="00D11756" w:rsidRPr="008A1FFD">
        <w:rPr>
          <w:lang w:val="ru-RU"/>
        </w:rPr>
        <w:t>].</w:t>
      </w:r>
    </w:p>
    <w:p w:rsidR="00D11756" w:rsidRDefault="00D11756" w:rsidP="00670C5D">
      <w:pPr>
        <w:pStyle w:val="Default"/>
        <w:ind w:firstLine="397"/>
        <w:jc w:val="both"/>
        <w:rPr>
          <w:lang w:val="ru-RU"/>
        </w:rPr>
      </w:pPr>
      <w:r w:rsidRPr="00D11756">
        <w:rPr>
          <w:lang w:val="ru-RU"/>
        </w:rPr>
        <w:t>Было установлено</w:t>
      </w:r>
      <w:r w:rsidR="000030B5">
        <w:t xml:space="preserve"> [</w:t>
      </w:r>
      <w:r w:rsidR="00BE3F83">
        <w:rPr>
          <w:lang w:val="ru-RU"/>
        </w:rPr>
        <w:t>4</w:t>
      </w:r>
      <w:r w:rsidR="000030B5">
        <w:t>]</w:t>
      </w:r>
      <w:r w:rsidRPr="00D11756">
        <w:rPr>
          <w:lang w:val="ru-RU"/>
        </w:rPr>
        <w:t>, что в ряде случаев появляются характерные сигналы повышенного уровня с широкой полосой спектра (перекрывающей несколько первых мод ШР), не связанные с техногенными источниками. Такие сигналы имеют длительность от нескольких минут до десятков часов. В зимнем сезоне такие возмущения не могут быть вызваны локальной грозовой активностью (носящей сезонный – причем, летний характер)</w:t>
      </w:r>
      <w:r w:rsidR="0009487D">
        <w:t xml:space="preserve"> [</w:t>
      </w:r>
      <w:r w:rsidR="00BE3F83">
        <w:rPr>
          <w:lang w:val="ru-RU"/>
        </w:rPr>
        <w:t>5</w:t>
      </w:r>
      <w:r w:rsidR="0009487D">
        <w:t>]</w:t>
      </w:r>
      <w:r w:rsidRPr="00D11756">
        <w:rPr>
          <w:lang w:val="ru-RU"/>
        </w:rPr>
        <w:t>. При этом было отмечено, что появление таких сигналов, как правило, связано с присутствием в пункте регистрации облачности</w:t>
      </w:r>
      <w:r w:rsidR="008A1FFD" w:rsidRPr="00D11756">
        <w:t> </w:t>
      </w:r>
      <w:r w:rsidR="008A1FFD" w:rsidRPr="00D11756">
        <w:rPr>
          <w:lang w:val="ru-RU"/>
        </w:rPr>
        <w:t>[</w:t>
      </w:r>
      <w:r w:rsidR="008A1FFD">
        <w:rPr>
          <w:lang w:val="ru-RU"/>
        </w:rPr>
        <w:t>1</w:t>
      </w:r>
      <w:r w:rsidR="008A1FFD" w:rsidRPr="00D11756">
        <w:rPr>
          <w:lang w:val="ru-RU"/>
        </w:rPr>
        <w:t>]</w:t>
      </w:r>
      <w:r w:rsidRPr="00D11756">
        <w:rPr>
          <w:lang w:val="ru-RU"/>
        </w:rPr>
        <w:t xml:space="preserve">, которая, как известно, тесно связана с атмосферными электрическими явлениями, например, </w:t>
      </w:r>
      <w:proofErr w:type="spellStart"/>
      <w:r w:rsidRPr="00D11756">
        <w:rPr>
          <w:lang w:val="ru-RU"/>
        </w:rPr>
        <w:t>внутриоблачными</w:t>
      </w:r>
      <w:proofErr w:type="spellEnd"/>
      <w:r w:rsidRPr="00D11756">
        <w:rPr>
          <w:lang w:val="ru-RU"/>
        </w:rPr>
        <w:t xml:space="preserve"> электрическими разрядами [</w:t>
      </w:r>
      <w:r w:rsidR="00BE3F83">
        <w:rPr>
          <w:lang w:val="ru-RU"/>
        </w:rPr>
        <w:t>5</w:t>
      </w:r>
      <w:r w:rsidRPr="00D11756">
        <w:rPr>
          <w:lang w:val="ru-RU"/>
        </w:rPr>
        <w:t>].</w:t>
      </w:r>
      <w:r w:rsidR="0009487D">
        <w:t xml:space="preserve"> </w:t>
      </w:r>
      <w:r w:rsidR="0009487D">
        <w:rPr>
          <w:lang w:val="ru-RU"/>
        </w:rPr>
        <w:t>Результаты, полученные ранее в двух зимних сезонах (2022-2023</w:t>
      </w:r>
      <w:r w:rsidR="00D869E6">
        <w:rPr>
          <w:lang w:val="ru-RU"/>
        </w:rPr>
        <w:t> </w:t>
      </w:r>
      <w:r w:rsidR="0009487D">
        <w:rPr>
          <w:lang w:val="ru-RU"/>
        </w:rPr>
        <w:t>гг</w:t>
      </w:r>
      <w:r w:rsidR="00D869E6">
        <w:rPr>
          <w:lang w:val="ru-RU"/>
        </w:rPr>
        <w:t>.</w:t>
      </w:r>
      <w:r w:rsidR="0009487D">
        <w:rPr>
          <w:lang w:val="ru-RU"/>
        </w:rPr>
        <w:t xml:space="preserve"> и 2023-2024</w:t>
      </w:r>
      <w:r w:rsidR="00D869E6">
        <w:rPr>
          <w:lang w:val="ru-RU"/>
        </w:rPr>
        <w:t> </w:t>
      </w:r>
      <w:r w:rsidR="0009487D">
        <w:rPr>
          <w:lang w:val="ru-RU"/>
        </w:rPr>
        <w:t>гг</w:t>
      </w:r>
      <w:r w:rsidR="00D869E6">
        <w:rPr>
          <w:lang w:val="ru-RU"/>
        </w:rPr>
        <w:t>.</w:t>
      </w:r>
      <w:r w:rsidR="00375CAD">
        <w:rPr>
          <w:lang w:val="ru-RU"/>
        </w:rPr>
        <w:t xml:space="preserve"> – продолжительность каждого сезона с октября по ма</w:t>
      </w:r>
      <w:proofErr w:type="gramStart"/>
      <w:r w:rsidR="00375CAD">
        <w:rPr>
          <w:lang w:val="ru-RU"/>
        </w:rPr>
        <w:t>рт вкл</w:t>
      </w:r>
      <w:proofErr w:type="gramEnd"/>
      <w:r w:rsidR="00375CAD">
        <w:rPr>
          <w:lang w:val="ru-RU"/>
        </w:rPr>
        <w:t>ючительно</w:t>
      </w:r>
      <w:r w:rsidR="0009487D">
        <w:rPr>
          <w:lang w:val="ru-RU"/>
        </w:rPr>
        <w:t>),</w:t>
      </w:r>
      <w:r w:rsidRPr="00D11756">
        <w:rPr>
          <w:lang w:val="ru-RU"/>
        </w:rPr>
        <w:t xml:space="preserve"> </w:t>
      </w:r>
      <w:r w:rsidR="0009487D">
        <w:rPr>
          <w:lang w:val="ru-RU"/>
        </w:rPr>
        <w:t xml:space="preserve">подтвердили </w:t>
      </w:r>
      <w:r w:rsidR="00375CAD">
        <w:rPr>
          <w:lang w:val="ru-RU"/>
        </w:rPr>
        <w:t xml:space="preserve">качественную </w:t>
      </w:r>
      <w:r w:rsidR="0009487D">
        <w:rPr>
          <w:lang w:val="ru-RU"/>
        </w:rPr>
        <w:t xml:space="preserve">повторяемость наблюдаемого явления. </w:t>
      </w:r>
      <w:r w:rsidRPr="00D11756">
        <w:rPr>
          <w:lang w:val="ru-RU"/>
        </w:rPr>
        <w:t>Исследование возмущенности ЭМ КНЧ–фона может оказаться полезным для объяснения эффекта метеочувствительности [</w:t>
      </w:r>
      <w:r w:rsidR="00BE3F83">
        <w:rPr>
          <w:lang w:val="ru-RU"/>
        </w:rPr>
        <w:t>2</w:t>
      </w:r>
      <w:r w:rsidRPr="00D11756">
        <w:rPr>
          <w:lang w:val="ru-RU"/>
        </w:rPr>
        <w:t>], наблюдаемого в человеческой популяции.</w:t>
      </w:r>
    </w:p>
    <w:p w:rsidR="00C62636" w:rsidRDefault="00D11756" w:rsidP="00670C5D">
      <w:pPr>
        <w:pStyle w:val="Default"/>
        <w:ind w:firstLine="397"/>
        <w:jc w:val="both"/>
        <w:rPr>
          <w:lang w:val="ru-RU"/>
        </w:rPr>
      </w:pPr>
      <w:r w:rsidRPr="00D11756">
        <w:rPr>
          <w:lang w:val="ru-RU"/>
        </w:rPr>
        <w:t xml:space="preserve">Целью данной работы является </w:t>
      </w:r>
      <w:r w:rsidR="00A3230B">
        <w:rPr>
          <w:lang w:val="ru-RU"/>
        </w:rPr>
        <w:t xml:space="preserve">статистический </w:t>
      </w:r>
      <w:r w:rsidR="00180F9B">
        <w:rPr>
          <w:lang w:val="ru-RU"/>
        </w:rPr>
        <w:t xml:space="preserve">анализ </w:t>
      </w:r>
      <w:r w:rsidRPr="00D11756">
        <w:rPr>
          <w:lang w:val="ru-RU"/>
        </w:rPr>
        <w:t xml:space="preserve">возмущенности ЭМ КНЧ–фона, вызванной слабыми внутри облачными электрическими разрядами в отсутствии местной грозовой активности </w:t>
      </w:r>
      <w:r w:rsidR="00180F9B">
        <w:rPr>
          <w:lang w:val="ru-RU"/>
        </w:rPr>
        <w:t>в зимние сезоны</w:t>
      </w:r>
      <w:r w:rsidR="0009487D">
        <w:rPr>
          <w:lang w:val="ru-RU"/>
        </w:rPr>
        <w:t xml:space="preserve"> для периода </w:t>
      </w:r>
      <w:r w:rsidR="00375CAD">
        <w:rPr>
          <w:lang w:val="ru-RU"/>
        </w:rPr>
        <w:t xml:space="preserve">наблюдений </w:t>
      </w:r>
      <w:r w:rsidR="00180F9B">
        <w:rPr>
          <w:lang w:val="ru-RU"/>
        </w:rPr>
        <w:t xml:space="preserve">с </w:t>
      </w:r>
      <w:r w:rsidR="0009487D">
        <w:rPr>
          <w:lang w:val="ru-RU"/>
        </w:rPr>
        <w:t xml:space="preserve">2018 по </w:t>
      </w:r>
      <w:r w:rsidR="00180F9B">
        <w:rPr>
          <w:lang w:val="ru-RU"/>
        </w:rPr>
        <w:t>202</w:t>
      </w:r>
      <w:r w:rsidR="0009487D">
        <w:rPr>
          <w:lang w:val="ru-RU"/>
        </w:rPr>
        <w:t>4</w:t>
      </w:r>
      <w:r w:rsidR="00D869E6">
        <w:rPr>
          <w:lang w:val="ru-RU"/>
        </w:rPr>
        <w:t> </w:t>
      </w:r>
      <w:r w:rsidR="00180F9B">
        <w:rPr>
          <w:lang w:val="ru-RU"/>
        </w:rPr>
        <w:t>г</w:t>
      </w:r>
      <w:r w:rsidR="0009487D">
        <w:rPr>
          <w:lang w:val="ru-RU"/>
        </w:rPr>
        <w:t>од</w:t>
      </w:r>
      <w:r w:rsidR="00D869E6">
        <w:rPr>
          <w:lang w:val="ru-RU"/>
        </w:rPr>
        <w:t xml:space="preserve"> включительно</w:t>
      </w:r>
      <w:r w:rsidR="0009487D">
        <w:rPr>
          <w:lang w:val="ru-RU"/>
        </w:rPr>
        <w:t>.</w:t>
      </w:r>
    </w:p>
    <w:p w:rsidR="002164FA" w:rsidRPr="008A1FFD" w:rsidRDefault="002164FA" w:rsidP="00670C5D">
      <w:pPr>
        <w:pStyle w:val="Default"/>
        <w:ind w:firstLine="397"/>
        <w:jc w:val="both"/>
        <w:rPr>
          <w:color w:val="auto"/>
          <w:lang w:val="ru-RU"/>
        </w:rPr>
      </w:pPr>
      <w:r w:rsidRPr="008A1FFD">
        <w:rPr>
          <w:color w:val="auto"/>
          <w:lang w:val="ru-RU"/>
        </w:rPr>
        <w:t>На кафедре космической физики и экологии ТГУ создан и эксплуатируется измерительно-вычислительный комплекс [</w:t>
      </w:r>
      <w:r w:rsidR="00BE3F83" w:rsidRPr="008A1FFD">
        <w:rPr>
          <w:color w:val="auto"/>
          <w:lang w:val="ru-RU"/>
        </w:rPr>
        <w:t>3</w:t>
      </w:r>
      <w:r w:rsidRPr="008A1FFD">
        <w:rPr>
          <w:color w:val="auto"/>
          <w:lang w:val="ru-RU"/>
        </w:rPr>
        <w:t>], который регистрирует вертикальную электрическую компоненту (</w:t>
      </w:r>
      <w:proofErr w:type="spellStart"/>
      <w:r w:rsidRPr="008A1FFD">
        <w:rPr>
          <w:i/>
          <w:iCs/>
          <w:color w:val="auto"/>
          <w:lang w:val="ru-RU"/>
        </w:rPr>
        <w:t>Ez</w:t>
      </w:r>
      <w:proofErr w:type="spellEnd"/>
      <w:r w:rsidRPr="008A1FFD">
        <w:rPr>
          <w:color w:val="auto"/>
          <w:lang w:val="ru-RU"/>
        </w:rPr>
        <w:t xml:space="preserve">) КНЧ ЭМ–фона с 1997 года. В результате работы комплекса данные измерений уровня ЭМ–фона в полосе частот до 40 Гц сохраняются в памяти ПК в двух формах: 1) Результаты цифровой регистрации временных реализаций вертикальной электрической компоненты ЭМ–фона </w:t>
      </w:r>
      <w:proofErr w:type="spellStart"/>
      <w:r w:rsidRPr="008A1FFD">
        <w:rPr>
          <w:i/>
          <w:iCs/>
          <w:color w:val="auto"/>
          <w:lang w:val="ru-RU"/>
        </w:rPr>
        <w:t>Ez</w:t>
      </w:r>
      <w:proofErr w:type="spellEnd"/>
      <w:r w:rsidRPr="008A1FFD">
        <w:rPr>
          <w:color w:val="auto"/>
          <w:lang w:val="ru-RU"/>
        </w:rPr>
        <w:t>; 2) Спектрограммы в графическом формате (JPEG)</w:t>
      </w:r>
      <w:r w:rsidR="00C62636" w:rsidRPr="008A1FFD">
        <w:rPr>
          <w:color w:val="auto"/>
          <w:lang w:val="ru-RU"/>
        </w:rPr>
        <w:t>.</w:t>
      </w:r>
    </w:p>
    <w:p w:rsidR="002164FA" w:rsidRPr="008A1FFD" w:rsidRDefault="002164FA" w:rsidP="00670C5D">
      <w:pPr>
        <w:pStyle w:val="Default"/>
        <w:ind w:firstLine="397"/>
        <w:jc w:val="both"/>
        <w:rPr>
          <w:color w:val="auto"/>
          <w:lang w:val="ru-RU"/>
        </w:rPr>
      </w:pPr>
      <w:r w:rsidRPr="008A1FFD">
        <w:rPr>
          <w:color w:val="auto"/>
          <w:lang w:val="ru-RU"/>
        </w:rPr>
        <w:t>Особенность реализованного в данном исследовании подхода заключается в работе с графическими файлами – спектрограммами, которые представляют собой изображения уровня КНЧ ЭМ–фона в виде цветового рельефа, в зависимости от частоты и времени суток. Цвет на спектрограмме соответствует уровню сигнала. Росту уровня сигнала соответствует последовательность цветов от темно-синего цвета к голубому, зеленому, розовому и далее к белому, включая промежуточные оттенки цвета (ресурс в сети ИНТЕРНЕТ – sosrff.tsu.ru).</w:t>
      </w:r>
      <w:r w:rsidR="00375CAD" w:rsidRPr="008A1FFD">
        <w:rPr>
          <w:color w:val="auto"/>
          <w:lang w:val="ru-RU"/>
        </w:rPr>
        <w:t xml:space="preserve"> </w:t>
      </w:r>
      <w:r w:rsidRPr="008A1FFD">
        <w:rPr>
          <w:color w:val="auto"/>
          <w:lang w:val="ru-RU"/>
        </w:rPr>
        <w:t xml:space="preserve">При таком подходе </w:t>
      </w:r>
      <w:r w:rsidR="00BE3F83" w:rsidRPr="008A1FFD">
        <w:rPr>
          <w:color w:val="auto"/>
        </w:rPr>
        <w:t xml:space="preserve">[4] </w:t>
      </w:r>
      <w:r w:rsidRPr="008A1FFD">
        <w:rPr>
          <w:color w:val="auto"/>
          <w:lang w:val="ru-RU"/>
        </w:rPr>
        <w:t xml:space="preserve">единичным элементом анализа является пиксель изображения, который соответствует объему данных размером – 3мин*0.1 Гц. Тождественность уровня сигнала и цвета изображения позволяет использовать пороговые методы выделения сигналов на </w:t>
      </w:r>
      <w:proofErr w:type="gramStart"/>
      <w:r w:rsidR="00375CAD" w:rsidRPr="008A1FFD">
        <w:rPr>
          <w:color w:val="auto"/>
          <w:lang w:val="ru-RU"/>
        </w:rPr>
        <w:t>спектрограммах</w:t>
      </w:r>
      <w:proofErr w:type="gramEnd"/>
      <w:r w:rsidR="00375CAD" w:rsidRPr="008A1FFD">
        <w:rPr>
          <w:color w:val="auto"/>
          <w:lang w:val="ru-RU"/>
        </w:rPr>
        <w:t>,</w:t>
      </w:r>
      <w:r w:rsidRPr="008A1FFD">
        <w:rPr>
          <w:color w:val="auto"/>
          <w:lang w:val="ru-RU"/>
        </w:rPr>
        <w:t xml:space="preserve"> исключая этап спектральной обработки исходных временных реализаций </w:t>
      </w:r>
      <w:r w:rsidR="003A6952">
        <w:rPr>
          <w:color w:val="auto"/>
          <w:lang w:val="ru-RU"/>
        </w:rPr>
        <w:t>компоненты</w:t>
      </w:r>
      <w:r w:rsidRPr="008A1FFD">
        <w:rPr>
          <w:color w:val="auto"/>
          <w:lang w:val="ru-RU"/>
        </w:rPr>
        <w:t xml:space="preserve"> </w:t>
      </w:r>
      <w:proofErr w:type="spellStart"/>
      <w:r w:rsidRPr="008A1FFD">
        <w:rPr>
          <w:i/>
          <w:iCs/>
          <w:color w:val="auto"/>
          <w:lang w:val="ru-RU"/>
        </w:rPr>
        <w:t>Ez</w:t>
      </w:r>
      <w:proofErr w:type="spellEnd"/>
      <w:r w:rsidRPr="008A1FFD">
        <w:rPr>
          <w:color w:val="auto"/>
          <w:lang w:val="ru-RU"/>
        </w:rPr>
        <w:t>.</w:t>
      </w:r>
    </w:p>
    <w:p w:rsidR="00B44CD5" w:rsidRPr="008A1FFD" w:rsidRDefault="00A3230B" w:rsidP="00670C5D">
      <w:pPr>
        <w:pStyle w:val="Default"/>
        <w:ind w:firstLine="397"/>
        <w:jc w:val="both"/>
        <w:rPr>
          <w:color w:val="auto"/>
          <w:lang w:val="ru-RU"/>
        </w:rPr>
      </w:pPr>
      <w:r w:rsidRPr="008A1FFD">
        <w:rPr>
          <w:color w:val="auto"/>
          <w:lang w:val="ru-RU"/>
        </w:rPr>
        <w:lastRenderedPageBreak/>
        <w:t>Полученные параметры возмущённости сохраняются в специализированной базе данных. В проводимой работе для каждых суток вычислялось суммарная возмущённость</w:t>
      </w:r>
      <w:r w:rsidR="009D75E7" w:rsidRPr="008A1FFD">
        <w:rPr>
          <w:color w:val="auto"/>
        </w:rPr>
        <w:t xml:space="preserve"> </w:t>
      </w:r>
      <w:r w:rsidR="008E6CF4" w:rsidRPr="008A1FFD">
        <w:rPr>
          <w:color w:val="auto"/>
          <w:lang w:val="ru-RU"/>
        </w:rPr>
        <w:t>(максимально возможное значение возмущённости для суток составляет 192000)</w:t>
      </w:r>
      <w:r w:rsidR="00BE3F83" w:rsidRPr="008A1FFD">
        <w:rPr>
          <w:color w:val="auto"/>
        </w:rPr>
        <w:t xml:space="preserve"> </w:t>
      </w:r>
      <w:r w:rsidR="009D75E7" w:rsidRPr="008A1FFD">
        <w:rPr>
          <w:color w:val="auto"/>
        </w:rPr>
        <w:t>[</w:t>
      </w:r>
      <w:r w:rsidR="00BE3F83" w:rsidRPr="008A1FFD">
        <w:rPr>
          <w:color w:val="auto"/>
        </w:rPr>
        <w:t>4</w:t>
      </w:r>
      <w:r w:rsidR="009D75E7" w:rsidRPr="008A1FFD">
        <w:rPr>
          <w:color w:val="auto"/>
        </w:rPr>
        <w:t>]</w:t>
      </w:r>
      <w:r w:rsidRPr="008A1FFD">
        <w:rPr>
          <w:color w:val="auto"/>
          <w:lang w:val="ru-RU"/>
        </w:rPr>
        <w:t xml:space="preserve">, при этом каждые сутки рассматривались единичным элементом для </w:t>
      </w:r>
      <w:r w:rsidR="008A1FFD" w:rsidRPr="008A1FFD">
        <w:rPr>
          <w:color w:val="auto"/>
          <w:lang w:val="ru-RU"/>
        </w:rPr>
        <w:t>дальнейшего</w:t>
      </w:r>
      <w:r w:rsidR="008A1FFD" w:rsidRPr="008A1FFD">
        <w:rPr>
          <w:color w:val="auto"/>
        </w:rPr>
        <w:t xml:space="preserve"> </w:t>
      </w:r>
      <w:r w:rsidRPr="008A1FFD">
        <w:rPr>
          <w:color w:val="auto"/>
          <w:lang w:val="ru-RU"/>
        </w:rPr>
        <w:t xml:space="preserve">статистического </w:t>
      </w:r>
      <w:r w:rsidR="00375CAD" w:rsidRPr="008A1FFD">
        <w:rPr>
          <w:color w:val="auto"/>
          <w:lang w:val="ru-RU"/>
        </w:rPr>
        <w:t>оценивания</w:t>
      </w:r>
      <w:r w:rsidRPr="008A1FFD">
        <w:rPr>
          <w:color w:val="auto"/>
          <w:lang w:val="ru-RU"/>
        </w:rPr>
        <w:t xml:space="preserve">. Для каждых суток </w:t>
      </w:r>
      <w:r w:rsidR="00375CAD" w:rsidRPr="008A1FFD">
        <w:rPr>
          <w:color w:val="auto"/>
          <w:lang w:val="ru-RU"/>
        </w:rPr>
        <w:t xml:space="preserve">полученная </w:t>
      </w:r>
      <w:r w:rsidRPr="008A1FFD">
        <w:rPr>
          <w:color w:val="auto"/>
          <w:lang w:val="ru-RU"/>
        </w:rPr>
        <w:t xml:space="preserve">величина возмущённости ранжировалась. Вводились пороговые уровни: ниже 200 </w:t>
      </w:r>
      <w:r w:rsidR="009D75E7" w:rsidRPr="008A1FFD">
        <w:rPr>
          <w:color w:val="auto"/>
          <w:lang w:val="ru-RU"/>
        </w:rPr>
        <w:t>–</w:t>
      </w:r>
      <w:r w:rsidRPr="008A1FFD">
        <w:rPr>
          <w:color w:val="auto"/>
          <w:lang w:val="ru-RU"/>
        </w:rPr>
        <w:t xml:space="preserve"> возмущённость</w:t>
      </w:r>
      <w:r w:rsidR="008E6CF4" w:rsidRPr="008A1FFD">
        <w:rPr>
          <w:color w:val="auto"/>
          <w:lang w:val="ru-RU"/>
        </w:rPr>
        <w:t xml:space="preserve"> считалась</w:t>
      </w:r>
      <w:r w:rsidRPr="008A1FFD">
        <w:rPr>
          <w:color w:val="auto"/>
          <w:lang w:val="ru-RU"/>
        </w:rPr>
        <w:t xml:space="preserve"> слаб</w:t>
      </w:r>
      <w:r w:rsidR="008E6CF4" w:rsidRPr="008A1FFD">
        <w:rPr>
          <w:color w:val="auto"/>
          <w:lang w:val="ru-RU"/>
        </w:rPr>
        <w:t>ой</w:t>
      </w:r>
      <w:r w:rsidRPr="008A1FFD">
        <w:rPr>
          <w:color w:val="auto"/>
          <w:lang w:val="ru-RU"/>
        </w:rPr>
        <w:t>, выше 10000</w:t>
      </w:r>
      <w:r w:rsidR="00375CAD" w:rsidRPr="008A1FFD">
        <w:rPr>
          <w:color w:val="auto"/>
          <w:lang w:val="ru-RU"/>
        </w:rPr>
        <w:t> </w:t>
      </w:r>
      <w:r w:rsidRPr="008A1FFD">
        <w:rPr>
          <w:color w:val="auto"/>
          <w:lang w:val="ru-RU"/>
        </w:rPr>
        <w:t>–</w:t>
      </w:r>
      <w:r w:rsidR="009D75E7" w:rsidRPr="008A1FFD">
        <w:rPr>
          <w:color w:val="auto"/>
          <w:lang w:val="ru-RU"/>
        </w:rPr>
        <w:t xml:space="preserve"> </w:t>
      </w:r>
      <w:r w:rsidRPr="008A1FFD">
        <w:rPr>
          <w:color w:val="auto"/>
          <w:lang w:val="ru-RU"/>
        </w:rPr>
        <w:t>значительн</w:t>
      </w:r>
      <w:r w:rsidR="008E6CF4" w:rsidRPr="008A1FFD">
        <w:rPr>
          <w:color w:val="auto"/>
          <w:lang w:val="ru-RU"/>
        </w:rPr>
        <w:t>ой</w:t>
      </w:r>
      <w:r w:rsidRPr="008A1FFD">
        <w:rPr>
          <w:color w:val="auto"/>
          <w:lang w:val="ru-RU"/>
        </w:rPr>
        <w:t>. При этом слабая возмущённость включает дни вообще без возмущений, а значительная включает</w:t>
      </w:r>
      <w:r w:rsidR="009D75E7" w:rsidRPr="008A1FFD">
        <w:rPr>
          <w:color w:val="auto"/>
          <w:lang w:val="ru-RU"/>
        </w:rPr>
        <w:t xml:space="preserve"> в себя</w:t>
      </w:r>
      <w:r w:rsidRPr="008A1FFD">
        <w:rPr>
          <w:color w:val="auto"/>
          <w:lang w:val="ru-RU"/>
        </w:rPr>
        <w:t xml:space="preserve"> </w:t>
      </w:r>
      <w:r w:rsidR="008E6CF4" w:rsidRPr="008A1FFD">
        <w:rPr>
          <w:color w:val="auto"/>
          <w:lang w:val="ru-RU"/>
        </w:rPr>
        <w:t xml:space="preserve">в качестве подкласса </w:t>
      </w:r>
      <w:r w:rsidRPr="008A1FFD">
        <w:rPr>
          <w:color w:val="auto"/>
          <w:lang w:val="ru-RU"/>
        </w:rPr>
        <w:t>сильную (более 50000).</w:t>
      </w:r>
      <w:r w:rsidR="009D75E7" w:rsidRPr="008A1FFD">
        <w:rPr>
          <w:color w:val="auto"/>
          <w:lang w:val="ru-RU"/>
        </w:rPr>
        <w:t xml:space="preserve"> Для каждого сезона вычислялась частота появления возмущённости ЭМ КНЧ</w:t>
      </w:r>
      <w:r w:rsidR="009D75E7" w:rsidRPr="008A1FFD">
        <w:rPr>
          <w:color w:val="auto"/>
          <w:lang w:val="ru-RU"/>
        </w:rPr>
        <w:t>–</w:t>
      </w:r>
      <w:r w:rsidR="009D75E7" w:rsidRPr="008A1FFD">
        <w:rPr>
          <w:color w:val="auto"/>
          <w:lang w:val="ru-RU"/>
        </w:rPr>
        <w:t xml:space="preserve">фона (в процентах) с учётом </w:t>
      </w:r>
      <w:r w:rsidR="00F651C1" w:rsidRPr="008A1FFD">
        <w:rPr>
          <w:color w:val="auto"/>
          <w:lang w:val="ru-RU"/>
        </w:rPr>
        <w:t>её величины см. Таблицу</w:t>
      </w:r>
      <w:r w:rsidR="008E6CF4" w:rsidRPr="008A1FFD">
        <w:rPr>
          <w:color w:val="auto"/>
          <w:lang w:val="ru-RU"/>
        </w:rPr>
        <w:t xml:space="preserve"> 1</w:t>
      </w:r>
      <w:r w:rsidR="00F651C1" w:rsidRPr="008A1FFD">
        <w:rPr>
          <w:color w:val="auto"/>
          <w:lang w:val="ru-RU"/>
        </w:rPr>
        <w:t>.</w:t>
      </w:r>
    </w:p>
    <w:p w:rsidR="00670C5D" w:rsidRDefault="00670C5D" w:rsidP="00670C5D">
      <w:pPr>
        <w:pStyle w:val="Default"/>
        <w:ind w:firstLine="397"/>
        <w:jc w:val="both"/>
        <w:rPr>
          <w:color w:val="auto"/>
          <w:lang w:val="ru-RU"/>
        </w:rPr>
      </w:pPr>
    </w:p>
    <w:p w:rsidR="00B44CD5" w:rsidRPr="00B44CD5" w:rsidRDefault="00B44CD5" w:rsidP="0082600A">
      <w:pPr>
        <w:pStyle w:val="Default"/>
        <w:ind w:firstLine="397"/>
        <w:jc w:val="center"/>
        <w:rPr>
          <w:color w:val="auto"/>
          <w:lang w:val="ru-RU"/>
        </w:rPr>
      </w:pPr>
      <w:r>
        <w:rPr>
          <w:color w:val="auto"/>
          <w:lang w:val="ru-RU"/>
        </w:rPr>
        <w:t>Таблица</w:t>
      </w:r>
      <w:r w:rsidR="008E6CF4">
        <w:rPr>
          <w:color w:val="auto"/>
          <w:lang w:val="ru-RU"/>
        </w:rPr>
        <w:t xml:space="preserve"> 1</w:t>
      </w:r>
      <w:r>
        <w:rPr>
          <w:color w:val="auto"/>
          <w:lang w:val="ru-RU"/>
        </w:rPr>
        <w:t>. Частота появления возмущенности ЭМ КНЧ</w:t>
      </w:r>
      <w:r w:rsidR="009D75E7">
        <w:rPr>
          <w:color w:val="auto"/>
          <w:lang w:val="ru-RU"/>
        </w:rPr>
        <w:t>–</w:t>
      </w:r>
      <w:r>
        <w:rPr>
          <w:color w:val="auto"/>
          <w:lang w:val="ru-RU"/>
        </w:rPr>
        <w:t>фона</w:t>
      </w:r>
      <w:r w:rsidR="000A2F3E">
        <w:rPr>
          <w:color w:val="auto"/>
          <w:lang w:val="ru-RU"/>
        </w:rPr>
        <w:t>, %</w:t>
      </w:r>
    </w:p>
    <w:tbl>
      <w:tblPr>
        <w:tblW w:w="7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003"/>
        <w:gridCol w:w="1003"/>
        <w:gridCol w:w="1003"/>
        <w:gridCol w:w="1003"/>
        <w:gridCol w:w="1003"/>
        <w:gridCol w:w="1003"/>
      </w:tblGrid>
      <w:tr w:rsidR="00B44CD5" w:rsidRPr="00F92FDB" w:rsidTr="0082600A">
        <w:trPr>
          <w:trHeight w:val="300"/>
          <w:jc w:val="center"/>
        </w:trPr>
        <w:tc>
          <w:tcPr>
            <w:tcW w:w="2042" w:type="dxa"/>
            <w:vMerge w:val="restart"/>
            <w:shd w:val="clear" w:color="auto" w:fill="auto"/>
            <w:noWrap/>
            <w:vAlign w:val="center"/>
          </w:tcPr>
          <w:p w:rsidR="00B44CD5" w:rsidRPr="00F92FDB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Уровень </w:t>
            </w:r>
            <w:r w:rsidR="00B44CD5">
              <w:rPr>
                <w:rFonts w:eastAsia="Times New Roman"/>
                <w:color w:val="000000"/>
                <w:szCs w:val="22"/>
                <w:lang w:eastAsia="en-US"/>
              </w:rPr>
              <w:t>возмущённости</w:t>
            </w:r>
          </w:p>
        </w:tc>
        <w:tc>
          <w:tcPr>
            <w:tcW w:w="5837" w:type="dxa"/>
            <w:gridSpan w:val="6"/>
            <w:shd w:val="clear" w:color="auto" w:fill="auto"/>
            <w:noWrap/>
            <w:vAlign w:val="center"/>
          </w:tcPr>
          <w:p w:rsidR="00B44CD5" w:rsidRPr="00B44CD5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Зимний с</w:t>
            </w:r>
            <w:r w:rsidR="00B44CD5">
              <w:rPr>
                <w:rFonts w:eastAsia="Times New Roman"/>
                <w:color w:val="000000"/>
                <w:szCs w:val="22"/>
                <w:lang w:eastAsia="en-US"/>
              </w:rPr>
              <w:t>езон</w:t>
            </w:r>
          </w:p>
        </w:tc>
      </w:tr>
      <w:tr w:rsidR="00B44CD5" w:rsidRPr="00F92FDB" w:rsidTr="0082600A">
        <w:trPr>
          <w:trHeight w:val="300"/>
          <w:jc w:val="center"/>
        </w:trPr>
        <w:tc>
          <w:tcPr>
            <w:tcW w:w="2042" w:type="dxa"/>
            <w:vMerge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2018/19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2019/20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2020/21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2021/22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2022/23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44CD5" w:rsidRPr="00F92FDB" w:rsidRDefault="00B44CD5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2023/24</w:t>
            </w:r>
          </w:p>
        </w:tc>
      </w:tr>
      <w:tr w:rsidR="0082600A" w:rsidRPr="00F92FDB" w:rsidTr="008A1FFD">
        <w:trPr>
          <w:trHeight w:val="300"/>
          <w:jc w:val="center"/>
        </w:trPr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Без возмущений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7.69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3.83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13.19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19.23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30.77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18.03</w:t>
            </w:r>
          </w:p>
        </w:tc>
      </w:tr>
      <w:tr w:rsidR="0082600A" w:rsidRPr="00F92FDB" w:rsidTr="008A1FFD">
        <w:trPr>
          <w:trHeight w:val="300"/>
          <w:jc w:val="center"/>
        </w:trPr>
        <w:tc>
          <w:tcPr>
            <w:tcW w:w="20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Незначительная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9.89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9.29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25.27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30.22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39.56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28.96</w:t>
            </w:r>
          </w:p>
        </w:tc>
      </w:tr>
      <w:tr w:rsidR="0082600A" w:rsidRPr="00F92FDB" w:rsidTr="008A1FFD">
        <w:trPr>
          <w:trHeight w:val="300"/>
          <w:jc w:val="center"/>
        </w:trPr>
        <w:tc>
          <w:tcPr>
            <w:tcW w:w="20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Значительная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44.51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34.97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25.27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21.43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12.64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27.32</w:t>
            </w:r>
          </w:p>
        </w:tc>
      </w:tr>
      <w:tr w:rsidR="0082600A" w:rsidRPr="00F92FDB" w:rsidTr="0082600A">
        <w:trPr>
          <w:trHeight w:val="300"/>
          <w:jc w:val="center"/>
        </w:trPr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F92FDB" w:rsidRPr="00F92FDB" w:rsidRDefault="0082600A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Сильная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7.69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3.83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1.65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1.10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0.00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F92FDB" w:rsidRPr="00F92FDB" w:rsidRDefault="00F92FDB" w:rsidP="0082600A">
            <w:pPr>
              <w:widowControl/>
              <w:ind w:firstLine="0"/>
              <w:jc w:val="center"/>
              <w:rPr>
                <w:rFonts w:eastAsia="Times New Roman"/>
                <w:color w:val="000000"/>
                <w:szCs w:val="22"/>
                <w:lang w:val="en-US" w:eastAsia="en-US"/>
              </w:rPr>
            </w:pPr>
            <w:r w:rsidRPr="00F92FDB">
              <w:rPr>
                <w:rFonts w:eastAsia="Times New Roman"/>
                <w:color w:val="000000"/>
                <w:szCs w:val="22"/>
                <w:lang w:val="en-US" w:eastAsia="en-US"/>
              </w:rPr>
              <w:t>2.73</w:t>
            </w:r>
          </w:p>
        </w:tc>
      </w:tr>
    </w:tbl>
    <w:p w:rsidR="00D11756" w:rsidRPr="00D11756" w:rsidRDefault="00D11756" w:rsidP="008A1FFD">
      <w:pPr>
        <w:pStyle w:val="Default"/>
        <w:ind w:firstLine="397"/>
        <w:jc w:val="both"/>
        <w:rPr>
          <w:lang w:val="ru-RU"/>
        </w:rPr>
      </w:pPr>
    </w:p>
    <w:p w:rsidR="00F651C1" w:rsidRPr="008A1FFD" w:rsidRDefault="00F651C1" w:rsidP="008A1FFD">
      <w:pPr>
        <w:pStyle w:val="Default"/>
        <w:ind w:firstLine="397"/>
        <w:jc w:val="both"/>
        <w:rPr>
          <w:color w:val="auto"/>
          <w:lang w:val="ru-RU"/>
        </w:rPr>
      </w:pPr>
      <w:proofErr w:type="gramStart"/>
      <w:r w:rsidRPr="008A1FFD">
        <w:rPr>
          <w:lang w:val="ru-RU"/>
        </w:rPr>
        <w:t>З</w:t>
      </w:r>
      <w:r w:rsidRPr="008A1FFD">
        <w:rPr>
          <w:color w:val="auto"/>
          <w:lang w:val="ru-RU"/>
        </w:rPr>
        <w:t xml:space="preserve">а рассматриваемый период значительная возмущённость </w:t>
      </w:r>
      <w:r w:rsidR="00C4440D" w:rsidRPr="008A1FFD">
        <w:rPr>
          <w:color w:val="auto"/>
          <w:lang w:val="ru-RU"/>
        </w:rPr>
        <w:t xml:space="preserve">монотонно </w:t>
      </w:r>
      <w:r w:rsidRPr="008A1FFD">
        <w:rPr>
          <w:color w:val="auto"/>
          <w:lang w:val="ru-RU"/>
        </w:rPr>
        <w:t xml:space="preserve">уменьшалась </w:t>
      </w:r>
      <w:r w:rsidR="00C4440D" w:rsidRPr="008A1FFD">
        <w:rPr>
          <w:color w:val="auto"/>
          <w:lang w:val="ru-RU"/>
        </w:rPr>
        <w:t xml:space="preserve">с </w:t>
      </w:r>
      <w:r w:rsidRPr="008A1FFD">
        <w:rPr>
          <w:color w:val="auto"/>
          <w:lang w:val="ru-RU"/>
        </w:rPr>
        <w:t xml:space="preserve">~44% в </w:t>
      </w:r>
      <w:r w:rsidR="00C4440D" w:rsidRPr="008A1FFD">
        <w:rPr>
          <w:color w:val="auto"/>
          <w:lang w:val="ru-RU"/>
        </w:rPr>
        <w:t xml:space="preserve">сезоне </w:t>
      </w:r>
      <w:r w:rsidRPr="008A1FFD">
        <w:rPr>
          <w:color w:val="auto"/>
          <w:lang w:val="ru-RU"/>
        </w:rPr>
        <w:t>2018</w:t>
      </w:r>
      <w:r w:rsidR="00C4440D" w:rsidRPr="008A1FFD">
        <w:rPr>
          <w:color w:val="auto"/>
          <w:lang w:val="ru-RU"/>
        </w:rPr>
        <w:t>/</w:t>
      </w:r>
      <w:r w:rsidRPr="008A1FFD">
        <w:rPr>
          <w:color w:val="auto"/>
          <w:lang w:val="ru-RU"/>
        </w:rPr>
        <w:t>19</w:t>
      </w:r>
      <w:r w:rsidR="00C4440D" w:rsidRPr="008A1FFD">
        <w:rPr>
          <w:color w:val="auto"/>
          <w:lang w:val="ru-RU"/>
        </w:rPr>
        <w:t xml:space="preserve"> </w:t>
      </w:r>
      <w:r w:rsidRPr="008A1FFD">
        <w:rPr>
          <w:color w:val="auto"/>
          <w:lang w:val="ru-RU"/>
        </w:rPr>
        <w:t>до ~1</w:t>
      </w:r>
      <w:r w:rsidR="0005093B" w:rsidRPr="008A1FFD">
        <w:rPr>
          <w:color w:val="auto"/>
          <w:lang w:val="ru-RU"/>
        </w:rPr>
        <w:t>3</w:t>
      </w:r>
      <w:r w:rsidRPr="008A1FFD">
        <w:rPr>
          <w:color w:val="auto"/>
          <w:lang w:val="ru-RU"/>
        </w:rPr>
        <w:t>%</w:t>
      </w:r>
      <w:r w:rsidR="00C4440D" w:rsidRPr="008A1FFD">
        <w:rPr>
          <w:color w:val="auto"/>
          <w:lang w:val="ru-RU"/>
        </w:rPr>
        <w:t xml:space="preserve"> в 2022/23</w:t>
      </w:r>
      <w:r w:rsidR="008A1FFD" w:rsidRPr="008A1FFD">
        <w:rPr>
          <w:color w:val="auto"/>
          <w:lang w:val="ru-RU"/>
        </w:rPr>
        <w:t xml:space="preserve"> и</w:t>
      </w:r>
      <w:r w:rsidR="00C4440D" w:rsidRPr="008A1FFD">
        <w:rPr>
          <w:color w:val="auto"/>
          <w:lang w:val="ru-RU"/>
        </w:rPr>
        <w:t xml:space="preserve"> далее в</w:t>
      </w:r>
      <w:r w:rsidR="008A1FFD">
        <w:rPr>
          <w:color w:val="auto"/>
          <w:lang w:val="ru-RU"/>
        </w:rPr>
        <w:t>ыросла</w:t>
      </w:r>
      <w:r w:rsidR="00C4440D" w:rsidRPr="008A1FFD">
        <w:rPr>
          <w:color w:val="auto"/>
          <w:lang w:val="ru-RU"/>
        </w:rPr>
        <w:t xml:space="preserve"> до ~27%.</w:t>
      </w:r>
      <w:r w:rsidR="008A1FFD" w:rsidRPr="008A1FFD">
        <w:rPr>
          <w:color w:val="auto"/>
          <w:lang w:val="ru-RU"/>
        </w:rPr>
        <w:t xml:space="preserve"> </w:t>
      </w:r>
      <w:r w:rsidR="00C4440D" w:rsidRPr="008A1FFD">
        <w:rPr>
          <w:color w:val="auto"/>
          <w:lang w:val="ru-RU"/>
        </w:rPr>
        <w:t xml:space="preserve">Напротив незначительная возмущённость увеличивалась с ~10% в сезоне 2018/19 до ~40% в </w:t>
      </w:r>
      <w:r w:rsidR="008E6CF4" w:rsidRPr="008A1FFD">
        <w:rPr>
          <w:color w:val="auto"/>
          <w:lang w:val="ru-RU"/>
        </w:rPr>
        <w:t xml:space="preserve">сезоне </w:t>
      </w:r>
      <w:r w:rsidR="00C4440D" w:rsidRPr="008A1FFD">
        <w:rPr>
          <w:color w:val="auto"/>
          <w:lang w:val="ru-RU"/>
        </w:rPr>
        <w:t>2022/23, затем немного снизилась до ~29%. Поведение сильной возмущённости (</w:t>
      </w:r>
      <w:r w:rsidR="008E6CF4" w:rsidRPr="008A1FFD">
        <w:rPr>
          <w:color w:val="auto"/>
          <w:lang w:val="ru-RU"/>
        </w:rPr>
        <w:t>табл</w:t>
      </w:r>
      <w:r w:rsidR="00C4440D" w:rsidRPr="008A1FFD">
        <w:rPr>
          <w:color w:val="auto"/>
          <w:lang w:val="ru-RU"/>
        </w:rPr>
        <w:t>.</w:t>
      </w:r>
      <w:r w:rsidR="008E6CF4" w:rsidRPr="008A1FFD">
        <w:rPr>
          <w:color w:val="auto"/>
          <w:lang w:val="ru-RU"/>
        </w:rPr>
        <w:t> 1</w:t>
      </w:r>
      <w:r w:rsidR="00C4440D" w:rsidRPr="008A1FFD">
        <w:rPr>
          <w:color w:val="auto"/>
          <w:lang w:val="ru-RU"/>
        </w:rPr>
        <w:t xml:space="preserve">) </w:t>
      </w:r>
      <w:r w:rsidR="00C4440D" w:rsidRPr="008A1FFD">
        <w:rPr>
          <w:color w:val="auto"/>
          <w:lang w:val="ru-RU"/>
        </w:rPr>
        <w:t>качественно</w:t>
      </w:r>
      <w:r w:rsidR="00C4440D" w:rsidRPr="008A1FFD">
        <w:rPr>
          <w:color w:val="auto"/>
          <w:lang w:val="ru-RU"/>
        </w:rPr>
        <w:t xml:space="preserve"> повторяет временной ход значительной.</w:t>
      </w:r>
      <w:proofErr w:type="gramEnd"/>
      <w:r w:rsidR="00C4440D" w:rsidRPr="008A1FFD">
        <w:rPr>
          <w:color w:val="auto"/>
          <w:lang w:val="ru-RU"/>
        </w:rPr>
        <w:t xml:space="preserve"> Аналогично для дней без возмущений </w:t>
      </w:r>
      <w:r w:rsidR="008A1FFD" w:rsidRPr="008A1FFD">
        <w:rPr>
          <w:color w:val="auto"/>
          <w:lang w:val="ru-RU"/>
        </w:rPr>
        <w:t xml:space="preserve">качественно </w:t>
      </w:r>
      <w:r w:rsidR="00C4440D" w:rsidRPr="008A1FFD">
        <w:rPr>
          <w:color w:val="auto"/>
          <w:lang w:val="ru-RU"/>
        </w:rPr>
        <w:t>повторяется тенденция</w:t>
      </w:r>
      <w:r w:rsidR="000B17A7" w:rsidRPr="008A1FFD">
        <w:rPr>
          <w:color w:val="auto"/>
          <w:lang w:val="ru-RU"/>
        </w:rPr>
        <w:t>,</w:t>
      </w:r>
      <w:r w:rsidR="00C4440D" w:rsidRPr="008A1FFD">
        <w:rPr>
          <w:color w:val="auto"/>
          <w:lang w:val="ru-RU"/>
        </w:rPr>
        <w:t xml:space="preserve"> </w:t>
      </w:r>
      <w:r w:rsidR="000B17A7" w:rsidRPr="008A1FFD">
        <w:rPr>
          <w:color w:val="auto"/>
          <w:lang w:val="ru-RU"/>
        </w:rPr>
        <w:t>описанная для незначительной возмущённости. Для умеренной возмущённости (интервал значений от 200 до 10000) изменени</w:t>
      </w:r>
      <w:r w:rsidR="008A1FFD" w:rsidRPr="008A1FFD">
        <w:rPr>
          <w:color w:val="auto"/>
          <w:lang w:val="ru-RU"/>
        </w:rPr>
        <w:t>я</w:t>
      </w:r>
      <w:r w:rsidR="000B17A7" w:rsidRPr="008A1FFD">
        <w:rPr>
          <w:color w:val="auto"/>
          <w:lang w:val="ru-RU"/>
        </w:rPr>
        <w:t xml:space="preserve"> от года к году </w:t>
      </w:r>
      <w:r w:rsidR="008A1FFD" w:rsidRPr="008A1FFD">
        <w:rPr>
          <w:color w:val="auto"/>
          <w:lang w:val="ru-RU"/>
        </w:rPr>
        <w:t xml:space="preserve">колеблются около значения </w:t>
      </w:r>
      <w:r w:rsidR="008A1FFD" w:rsidRPr="008A1FFD">
        <w:rPr>
          <w:color w:val="auto"/>
          <w:lang w:val="ru-RU"/>
        </w:rPr>
        <w:t>~</w:t>
      </w:r>
      <w:r w:rsidR="008E6CF4" w:rsidRPr="008A1FFD">
        <w:rPr>
          <w:color w:val="auto"/>
          <w:lang w:val="ru-RU"/>
        </w:rPr>
        <w:t>50</w:t>
      </w:r>
      <w:r w:rsidR="008A1FFD" w:rsidRPr="008A1FFD">
        <w:rPr>
          <w:color w:val="auto"/>
          <w:lang w:val="ru-RU"/>
        </w:rPr>
        <w:t>±6</w:t>
      </w:r>
      <w:r w:rsidR="008E6CF4" w:rsidRPr="008A1FFD">
        <w:rPr>
          <w:color w:val="auto"/>
          <w:lang w:val="ru-RU"/>
        </w:rPr>
        <w:t xml:space="preserve">% без </w:t>
      </w:r>
      <w:r w:rsidR="008A1FFD" w:rsidRPr="008A1FFD">
        <w:rPr>
          <w:color w:val="auto"/>
          <w:lang w:val="ru-RU"/>
        </w:rPr>
        <w:t>явной</w:t>
      </w:r>
      <w:r w:rsidR="008E6CF4" w:rsidRPr="008A1FFD">
        <w:rPr>
          <w:color w:val="auto"/>
          <w:lang w:val="ru-RU"/>
        </w:rPr>
        <w:t xml:space="preserve"> тенденции.</w:t>
      </w:r>
    </w:p>
    <w:p w:rsidR="0005093B" w:rsidRDefault="008E6CF4" w:rsidP="00670C5D">
      <w:pPr>
        <w:pStyle w:val="Default"/>
        <w:ind w:firstLine="397"/>
        <w:jc w:val="both"/>
        <w:rPr>
          <w:lang w:val="ru-RU"/>
        </w:rPr>
      </w:pPr>
      <w:r w:rsidRPr="008A1FFD">
        <w:rPr>
          <w:iCs/>
          <w:color w:val="auto"/>
          <w:lang w:val="ru-RU"/>
        </w:rPr>
        <w:t>Таким образом</w:t>
      </w:r>
      <w:r w:rsidR="0005093B" w:rsidRPr="008A1FFD">
        <w:rPr>
          <w:iCs/>
          <w:color w:val="auto"/>
          <w:lang w:val="ru-RU"/>
        </w:rPr>
        <w:t xml:space="preserve">, </w:t>
      </w:r>
      <w:r w:rsidR="0005093B" w:rsidRPr="008A1FFD">
        <w:rPr>
          <w:color w:val="auto"/>
          <w:lang w:val="ru-RU"/>
        </w:rPr>
        <w:t xml:space="preserve">статистический анализ </w:t>
      </w:r>
      <w:r w:rsidR="0005093B" w:rsidRPr="008A1FFD">
        <w:rPr>
          <w:color w:val="auto"/>
          <w:lang w:val="ru-RU"/>
        </w:rPr>
        <w:t xml:space="preserve">возмущенности ЭМ КНЧ–фона </w:t>
      </w:r>
      <w:r w:rsidR="008A1FFD">
        <w:rPr>
          <w:color w:val="auto"/>
          <w:lang w:val="ru-RU"/>
        </w:rPr>
        <w:t xml:space="preserve">в многолетнем цикле наблюдений </w:t>
      </w:r>
      <w:r w:rsidR="0005093B" w:rsidRPr="008A1FFD">
        <w:rPr>
          <w:color w:val="auto"/>
          <w:lang w:val="ru-RU"/>
        </w:rPr>
        <w:t xml:space="preserve">показал изменение значительной возмущённости от </w:t>
      </w:r>
      <w:r w:rsidR="0005093B" w:rsidRPr="008A1FFD">
        <w:rPr>
          <w:color w:val="auto"/>
        </w:rPr>
        <w:t>~</w:t>
      </w:r>
      <w:r w:rsidR="0005093B" w:rsidRPr="008A1FFD">
        <w:rPr>
          <w:color w:val="auto"/>
          <w:lang w:val="ru-RU"/>
        </w:rPr>
        <w:t>40</w:t>
      </w:r>
      <w:r w:rsidR="0005093B" w:rsidRPr="008A1FFD">
        <w:rPr>
          <w:color w:val="auto"/>
        </w:rPr>
        <w:t xml:space="preserve">% </w:t>
      </w:r>
      <w:r w:rsidR="0005093B" w:rsidRPr="008A1FFD">
        <w:rPr>
          <w:color w:val="auto"/>
          <w:lang w:val="ru-RU"/>
        </w:rPr>
        <w:t>до</w:t>
      </w:r>
      <w:r w:rsidR="0005093B" w:rsidRPr="008A1FFD">
        <w:rPr>
          <w:color w:val="auto"/>
        </w:rPr>
        <w:t xml:space="preserve"> ~</w:t>
      </w:r>
      <w:r w:rsidR="0005093B" w:rsidRPr="008A1FFD">
        <w:rPr>
          <w:color w:val="auto"/>
          <w:lang w:val="ru-RU"/>
        </w:rPr>
        <w:t xml:space="preserve">13%, при этом </w:t>
      </w:r>
      <w:r w:rsidR="00916856">
        <w:rPr>
          <w:color w:val="auto"/>
          <w:lang w:val="ru-RU"/>
        </w:rPr>
        <w:t>установлено</w:t>
      </w:r>
      <w:r w:rsidR="008A1FFD">
        <w:rPr>
          <w:color w:val="auto"/>
          <w:lang w:val="ru-RU"/>
        </w:rPr>
        <w:t>,</w:t>
      </w:r>
      <w:r w:rsidR="0005093B" w:rsidRPr="008A1FFD">
        <w:rPr>
          <w:color w:val="auto"/>
          <w:lang w:val="ru-RU"/>
        </w:rPr>
        <w:t xml:space="preserve"> </w:t>
      </w:r>
      <w:r w:rsidR="0005093B">
        <w:rPr>
          <w:lang w:val="ru-RU"/>
        </w:rPr>
        <w:t xml:space="preserve">что эти изменения происходят монотонно. Напротив незначительная возмущённость </w:t>
      </w:r>
      <w:r w:rsidR="00916856">
        <w:rPr>
          <w:lang w:val="ru-RU"/>
        </w:rPr>
        <w:t xml:space="preserve">в это время </w:t>
      </w:r>
      <w:r w:rsidR="0005093B">
        <w:rPr>
          <w:lang w:val="ru-RU"/>
        </w:rPr>
        <w:t xml:space="preserve">меняется </w:t>
      </w:r>
      <w:r w:rsidR="00670C5D">
        <w:rPr>
          <w:lang w:val="ru-RU"/>
        </w:rPr>
        <w:t xml:space="preserve">зеркально </w:t>
      </w:r>
      <w:r w:rsidR="0005093B">
        <w:rPr>
          <w:lang w:val="ru-RU"/>
        </w:rPr>
        <w:t xml:space="preserve">от </w:t>
      </w:r>
      <w:r w:rsidR="0005093B">
        <w:t xml:space="preserve">~9% </w:t>
      </w:r>
      <w:r w:rsidR="0005093B">
        <w:rPr>
          <w:lang w:val="ru-RU"/>
        </w:rPr>
        <w:t xml:space="preserve">до </w:t>
      </w:r>
      <w:r w:rsidR="0005093B">
        <w:t>~40%</w:t>
      </w:r>
      <w:r w:rsidR="00670C5D">
        <w:rPr>
          <w:lang w:val="ru-RU"/>
        </w:rPr>
        <w:t>.</w:t>
      </w:r>
    </w:p>
    <w:p w:rsidR="007E4652" w:rsidRDefault="007E4652" w:rsidP="00570743">
      <w:pPr>
        <w:ind w:firstLine="0"/>
        <w:jc w:val="center"/>
        <w:outlineLvl w:val="0"/>
        <w:rPr>
          <w:b/>
        </w:rPr>
      </w:pPr>
      <w:r>
        <w:rPr>
          <w:b/>
        </w:rPr>
        <w:t>Л</w:t>
      </w:r>
      <w:r>
        <w:rPr>
          <w:b/>
        </w:rPr>
        <w:t>итератур</w:t>
      </w:r>
      <w:r>
        <w:rPr>
          <w:b/>
        </w:rPr>
        <w:t>а</w:t>
      </w:r>
    </w:p>
    <w:p w:rsidR="00375CAD" w:rsidRPr="008A1FFD" w:rsidRDefault="00375CAD" w:rsidP="00570743">
      <w:pPr>
        <w:widowControl/>
        <w:numPr>
          <w:ilvl w:val="0"/>
          <w:numId w:val="1"/>
        </w:numPr>
        <w:ind w:left="425" w:hanging="425"/>
        <w:contextualSpacing/>
        <w:rPr>
          <w:noProof/>
          <w:szCs w:val="22"/>
        </w:rPr>
      </w:pPr>
      <w:r w:rsidRPr="008A1FFD">
        <w:rPr>
          <w:noProof/>
          <w:szCs w:val="22"/>
        </w:rPr>
        <w:t>Беспалов Д. П. [и др.] Атлас облаков / Федер. служба по гидрометеорологии и мониторингу окружающей среды (Росгидромет), Гл. геофиз. Обсерватория им. А.И. Воейкова. Санкт-Петербург : Д’АРТ</w:t>
      </w:r>
      <w:r w:rsidR="007E3A43" w:rsidRPr="008A1FFD">
        <w:rPr>
          <w:noProof/>
          <w:szCs w:val="22"/>
        </w:rPr>
        <w:t>.</w:t>
      </w:r>
      <w:r w:rsidRPr="008A1FFD">
        <w:rPr>
          <w:noProof/>
          <w:szCs w:val="22"/>
        </w:rPr>
        <w:t xml:space="preserve"> 2011. 248 с.</w:t>
      </w:r>
    </w:p>
    <w:p w:rsidR="00375CAD" w:rsidRPr="008A1FFD" w:rsidRDefault="00375CAD" w:rsidP="00375CAD">
      <w:pPr>
        <w:widowControl/>
        <w:numPr>
          <w:ilvl w:val="0"/>
          <w:numId w:val="1"/>
        </w:numPr>
        <w:ind w:left="426" w:hanging="426"/>
        <w:contextualSpacing/>
        <w:rPr>
          <w:noProof/>
          <w:szCs w:val="22"/>
        </w:rPr>
      </w:pPr>
      <w:r w:rsidRPr="008A1FFD">
        <w:rPr>
          <w:noProof/>
          <w:szCs w:val="22"/>
        </w:rPr>
        <w:t>Иванова Е. Г.</w:t>
      </w:r>
      <w:r w:rsidRPr="008A1FFD">
        <w:rPr>
          <w:noProof/>
          <w:szCs w:val="22"/>
          <w:lang w:val="en-US"/>
        </w:rPr>
        <w:t>,</w:t>
      </w:r>
      <w:r w:rsidRPr="008A1FFD">
        <w:rPr>
          <w:noProof/>
          <w:szCs w:val="22"/>
        </w:rPr>
        <w:t xml:space="preserve"> Потемина Т. Е. Предикторы метеочувствительности у пациентов с артериальной гипертонией в условиях Крайнего Севера // Вестник новых медицинских технологий. 2023.</w:t>
      </w:r>
      <w:r w:rsidRPr="008A1FFD">
        <w:rPr>
          <w:noProof/>
          <w:szCs w:val="22"/>
        </w:rPr>
        <w:t xml:space="preserve"> </w:t>
      </w:r>
      <w:r w:rsidRPr="008A1FFD">
        <w:rPr>
          <w:noProof/>
          <w:szCs w:val="22"/>
        </w:rPr>
        <w:t>Т. 30, № 4. С. 6-11.</w:t>
      </w:r>
    </w:p>
    <w:p w:rsidR="00AF3205" w:rsidRPr="008A1FFD" w:rsidRDefault="00AF3205" w:rsidP="00670C5D">
      <w:pPr>
        <w:widowControl/>
        <w:numPr>
          <w:ilvl w:val="0"/>
          <w:numId w:val="1"/>
        </w:numPr>
        <w:ind w:left="425" w:hanging="425"/>
        <w:contextualSpacing/>
        <w:rPr>
          <w:noProof/>
          <w:szCs w:val="22"/>
        </w:rPr>
      </w:pPr>
      <w:r w:rsidRPr="008A1FFD">
        <w:rPr>
          <w:noProof/>
          <w:szCs w:val="22"/>
        </w:rPr>
        <w:t>Колесник А. Г., Колесник С. А., Колмаков А.</w:t>
      </w:r>
      <w:r w:rsidRPr="008A1FFD">
        <w:rPr>
          <w:noProof/>
          <w:szCs w:val="22"/>
          <w:lang w:val="en-US"/>
        </w:rPr>
        <w:t xml:space="preserve"> </w:t>
      </w:r>
      <w:r w:rsidRPr="008A1FFD">
        <w:rPr>
          <w:noProof/>
          <w:szCs w:val="22"/>
        </w:rPr>
        <w:t>А., Шинкевич Б. М. Шумановские резонансы</w:t>
      </w:r>
      <w:r w:rsidRPr="008A1FFD">
        <w:rPr>
          <w:noProof/>
          <w:szCs w:val="22"/>
          <w:lang w:val="en-US"/>
        </w:rPr>
        <w:t> </w:t>
      </w:r>
      <w:r w:rsidRPr="008A1FFD">
        <w:rPr>
          <w:noProof/>
          <w:szCs w:val="22"/>
        </w:rPr>
        <w:t>// Изв. вузов. Физика. 2003</w:t>
      </w:r>
      <w:r w:rsidR="007E3A43" w:rsidRPr="008A1FFD">
        <w:rPr>
          <w:noProof/>
          <w:szCs w:val="22"/>
        </w:rPr>
        <w:t>,</w:t>
      </w:r>
      <w:r w:rsidR="00375CAD" w:rsidRPr="008A1FFD">
        <w:rPr>
          <w:noProof/>
          <w:szCs w:val="22"/>
        </w:rPr>
        <w:t xml:space="preserve"> </w:t>
      </w:r>
      <w:r w:rsidRPr="008A1FFD">
        <w:rPr>
          <w:noProof/>
          <w:szCs w:val="22"/>
        </w:rPr>
        <w:t>№2. С. 69–73.</w:t>
      </w:r>
    </w:p>
    <w:p w:rsidR="00375CAD" w:rsidRPr="008A1FFD" w:rsidRDefault="00375CAD" w:rsidP="00375CAD">
      <w:pPr>
        <w:widowControl/>
        <w:numPr>
          <w:ilvl w:val="0"/>
          <w:numId w:val="1"/>
        </w:numPr>
        <w:ind w:left="426" w:hanging="426"/>
        <w:contextualSpacing/>
        <w:rPr>
          <w:noProof/>
          <w:szCs w:val="22"/>
        </w:rPr>
      </w:pPr>
      <w:r w:rsidRPr="008A1FFD">
        <w:rPr>
          <w:noProof/>
          <w:szCs w:val="22"/>
        </w:rPr>
        <w:t>Белоногов</w:t>
      </w:r>
      <w:r w:rsidRPr="008A1FFD">
        <w:rPr>
          <w:noProof/>
          <w:szCs w:val="22"/>
        </w:rPr>
        <w:t xml:space="preserve"> </w:t>
      </w:r>
      <w:r w:rsidRPr="008A1FFD">
        <w:rPr>
          <w:noProof/>
          <w:szCs w:val="22"/>
        </w:rPr>
        <w:t>С. А.</w:t>
      </w:r>
      <w:r w:rsidR="007E3A43" w:rsidRPr="008A1FFD">
        <w:rPr>
          <w:noProof/>
          <w:szCs w:val="22"/>
        </w:rPr>
        <w:t xml:space="preserve"> </w:t>
      </w:r>
      <w:r w:rsidR="007E3A43" w:rsidRPr="008A1FFD">
        <w:rPr>
          <w:noProof/>
          <w:szCs w:val="22"/>
        </w:rPr>
        <w:t>[и др.]</w:t>
      </w:r>
      <w:r w:rsidR="007E3A43" w:rsidRPr="008A1FFD">
        <w:rPr>
          <w:noProof/>
          <w:szCs w:val="22"/>
        </w:rPr>
        <w:t>.</w:t>
      </w:r>
      <w:r w:rsidRPr="008A1FFD">
        <w:rPr>
          <w:noProof/>
          <w:szCs w:val="22"/>
        </w:rPr>
        <w:t xml:space="preserve"> </w:t>
      </w:r>
      <w:r w:rsidR="00656B30" w:rsidRPr="008A1FFD">
        <w:rPr>
          <w:noProof/>
          <w:szCs w:val="22"/>
        </w:rPr>
        <w:t>Местная облачность как причина возмущенности электромагнитного крайне низкочастотного фона в зимний период по данным измерений в Томске // Распространение радиоволн</w:t>
      </w:r>
      <w:r w:rsidR="00570743" w:rsidRPr="008A1FFD">
        <w:rPr>
          <w:noProof/>
          <w:szCs w:val="22"/>
        </w:rPr>
        <w:t>.</w:t>
      </w:r>
      <w:r w:rsidR="00656B30" w:rsidRPr="008A1FFD">
        <w:rPr>
          <w:noProof/>
          <w:szCs w:val="22"/>
        </w:rPr>
        <w:t xml:space="preserve"> I Всероссийск</w:t>
      </w:r>
      <w:r w:rsidR="00570743" w:rsidRPr="008A1FFD">
        <w:rPr>
          <w:noProof/>
          <w:szCs w:val="22"/>
        </w:rPr>
        <w:t>ая</w:t>
      </w:r>
      <w:r w:rsidR="00656B30" w:rsidRPr="008A1FFD">
        <w:rPr>
          <w:noProof/>
          <w:szCs w:val="22"/>
        </w:rPr>
        <w:t xml:space="preserve"> молодежной научной школы-конференции, посвященной памяти Д. С. Лукина, Йошкар-Ола: Поволжский государственный технологический университет</w:t>
      </w:r>
      <w:r w:rsidR="007E3A43" w:rsidRPr="008A1FFD">
        <w:rPr>
          <w:noProof/>
          <w:szCs w:val="22"/>
        </w:rPr>
        <w:t>.</w:t>
      </w:r>
      <w:r w:rsidR="00656B30" w:rsidRPr="008A1FFD">
        <w:rPr>
          <w:noProof/>
          <w:szCs w:val="22"/>
        </w:rPr>
        <w:t xml:space="preserve"> 2024. С. 35-38.</w:t>
      </w:r>
    </w:p>
    <w:p w:rsidR="00375CAD" w:rsidRPr="008A1FFD" w:rsidRDefault="00375CAD" w:rsidP="00375CAD">
      <w:pPr>
        <w:widowControl/>
        <w:numPr>
          <w:ilvl w:val="0"/>
          <w:numId w:val="1"/>
        </w:numPr>
        <w:ind w:left="426" w:hanging="426"/>
        <w:contextualSpacing/>
        <w:rPr>
          <w:noProof/>
          <w:szCs w:val="22"/>
        </w:rPr>
      </w:pPr>
      <w:r w:rsidRPr="008A1FFD">
        <w:rPr>
          <w:noProof/>
          <w:szCs w:val="22"/>
        </w:rPr>
        <w:t>Betz H. D.</w:t>
      </w:r>
      <w:r w:rsidRPr="008A1FFD">
        <w:rPr>
          <w:noProof/>
          <w:szCs w:val="22"/>
          <w:lang w:val="en-US"/>
        </w:rPr>
        <w:t>,</w:t>
      </w:r>
      <w:r w:rsidRPr="008A1FFD">
        <w:rPr>
          <w:noProof/>
          <w:szCs w:val="22"/>
        </w:rPr>
        <w:t xml:space="preserve"> Schumann</w:t>
      </w:r>
      <w:r w:rsidRPr="008A1FFD">
        <w:rPr>
          <w:noProof/>
          <w:szCs w:val="22"/>
          <w:lang w:val="en-US"/>
        </w:rPr>
        <w:t xml:space="preserve"> </w:t>
      </w:r>
      <w:r w:rsidRPr="008A1FFD">
        <w:rPr>
          <w:noProof/>
          <w:szCs w:val="22"/>
        </w:rPr>
        <w:t>U., Laroche P. Lightning: Principles, Instruments and Applications. Springer Science</w:t>
      </w:r>
      <w:r w:rsidR="007E3A43" w:rsidRPr="008A1FFD">
        <w:rPr>
          <w:noProof/>
          <w:szCs w:val="22"/>
        </w:rPr>
        <w:t>.</w:t>
      </w:r>
      <w:r w:rsidRPr="008A1FFD">
        <w:rPr>
          <w:noProof/>
          <w:szCs w:val="22"/>
        </w:rPr>
        <w:t xml:space="preserve"> 2009.</w:t>
      </w:r>
      <w:r w:rsidR="00570743" w:rsidRPr="008A1FFD">
        <w:rPr>
          <w:noProof/>
          <w:szCs w:val="22"/>
        </w:rPr>
        <w:t xml:space="preserve"> </w:t>
      </w:r>
      <w:r w:rsidRPr="008A1FFD">
        <w:rPr>
          <w:noProof/>
          <w:szCs w:val="22"/>
        </w:rPr>
        <w:t>641 p.</w:t>
      </w:r>
    </w:p>
    <w:p w:rsidR="00656B30" w:rsidRPr="008A1FFD" w:rsidRDefault="00570743" w:rsidP="00670C5D">
      <w:pPr>
        <w:widowControl/>
        <w:numPr>
          <w:ilvl w:val="0"/>
          <w:numId w:val="1"/>
        </w:numPr>
        <w:ind w:left="426" w:hanging="426"/>
        <w:contextualSpacing/>
        <w:rPr>
          <w:noProof/>
          <w:szCs w:val="22"/>
        </w:rPr>
      </w:pPr>
      <w:r w:rsidRPr="008A1FFD">
        <w:rPr>
          <w:noProof/>
          <w:szCs w:val="22"/>
        </w:rPr>
        <w:t>Gvozdarev</w:t>
      </w:r>
      <w:r w:rsidRPr="008A1FFD">
        <w:rPr>
          <w:noProof/>
          <w:szCs w:val="22"/>
        </w:rPr>
        <w:t xml:space="preserve"> </w:t>
      </w:r>
      <w:r w:rsidRPr="008A1FFD">
        <w:rPr>
          <w:noProof/>
          <w:szCs w:val="22"/>
        </w:rPr>
        <w:t>A. Y. [et al.]</w:t>
      </w:r>
      <w:r w:rsidRPr="008A1FFD">
        <w:rPr>
          <w:noProof/>
          <w:szCs w:val="22"/>
        </w:rPr>
        <w:t xml:space="preserve"> </w:t>
      </w:r>
      <w:r w:rsidR="00656B30" w:rsidRPr="008A1FFD">
        <w:rPr>
          <w:noProof/>
          <w:szCs w:val="22"/>
        </w:rPr>
        <w:t>Joint research of extremely low frequency electromagnetic background at Baygazan (Russian Altay) and Kolarovo (Tomsk region) // Proceedings of SPIE. Vol. 10466. – Irkutsk: SPIE</w:t>
      </w:r>
      <w:r w:rsidR="007E3A43" w:rsidRPr="008A1FFD">
        <w:rPr>
          <w:noProof/>
          <w:szCs w:val="22"/>
        </w:rPr>
        <w:t>.</w:t>
      </w:r>
      <w:r w:rsidR="00656B30" w:rsidRPr="008A1FFD">
        <w:rPr>
          <w:noProof/>
          <w:szCs w:val="22"/>
        </w:rPr>
        <w:t xml:space="preserve"> 2017. P. 104665M.</w:t>
      </w:r>
    </w:p>
    <w:sectPr w:rsidR="00656B30" w:rsidRPr="008A1FFD" w:rsidSect="007E465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177"/>
    <w:multiLevelType w:val="hybridMultilevel"/>
    <w:tmpl w:val="8F6A49A8"/>
    <w:lvl w:ilvl="0" w:tplc="16E6F452">
      <w:start w:val="1"/>
      <w:numFmt w:val="decimal"/>
      <w:lvlText w:val="%1."/>
      <w:lvlJc w:val="left"/>
      <w:pPr>
        <w:ind w:left="11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52"/>
    <w:rsid w:val="000030B5"/>
    <w:rsid w:val="0005093B"/>
    <w:rsid w:val="0009487D"/>
    <w:rsid w:val="000A2F3E"/>
    <w:rsid w:val="000B17A7"/>
    <w:rsid w:val="00180F9B"/>
    <w:rsid w:val="002164FA"/>
    <w:rsid w:val="0028544F"/>
    <w:rsid w:val="00375CAD"/>
    <w:rsid w:val="003A6952"/>
    <w:rsid w:val="00475FA0"/>
    <w:rsid w:val="004A5A5B"/>
    <w:rsid w:val="004B0E25"/>
    <w:rsid w:val="00570743"/>
    <w:rsid w:val="005C4F0B"/>
    <w:rsid w:val="0063670E"/>
    <w:rsid w:val="00656B30"/>
    <w:rsid w:val="00670C5D"/>
    <w:rsid w:val="007E3A43"/>
    <w:rsid w:val="007E4652"/>
    <w:rsid w:val="0082600A"/>
    <w:rsid w:val="0087064F"/>
    <w:rsid w:val="008A1FFD"/>
    <w:rsid w:val="008E6CF4"/>
    <w:rsid w:val="00916856"/>
    <w:rsid w:val="009D75E7"/>
    <w:rsid w:val="00A13861"/>
    <w:rsid w:val="00A3230B"/>
    <w:rsid w:val="00A658F6"/>
    <w:rsid w:val="00A94963"/>
    <w:rsid w:val="00AF3205"/>
    <w:rsid w:val="00B44CD5"/>
    <w:rsid w:val="00BE3F83"/>
    <w:rsid w:val="00C4440D"/>
    <w:rsid w:val="00C62636"/>
    <w:rsid w:val="00D11756"/>
    <w:rsid w:val="00D869E6"/>
    <w:rsid w:val="00DD15A9"/>
    <w:rsid w:val="00E10E7D"/>
    <w:rsid w:val="00F651C1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52"/>
    <w:pPr>
      <w:widowControl w:val="0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7064F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4F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3">
    <w:name w:val="Emphasis"/>
    <w:uiPriority w:val="20"/>
    <w:qFormat/>
    <w:rsid w:val="0087064F"/>
    <w:rPr>
      <w:i/>
      <w:iCs/>
    </w:rPr>
  </w:style>
  <w:style w:type="paragraph" w:styleId="a4">
    <w:name w:val="List Paragraph"/>
    <w:basedOn w:val="a"/>
    <w:uiPriority w:val="34"/>
    <w:qFormat/>
    <w:rsid w:val="0087064F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E4652"/>
    <w:pPr>
      <w:widowControl/>
      <w:spacing w:before="100" w:beforeAutospacing="1" w:after="100" w:afterAutospacing="1"/>
      <w:ind w:firstLine="0"/>
      <w:jc w:val="left"/>
    </w:pPr>
    <w:rPr>
      <w:rFonts w:eastAsia="Times New Roman"/>
      <w:lang w:val="en-US" w:eastAsia="en-US"/>
    </w:rPr>
  </w:style>
  <w:style w:type="character" w:styleId="a6">
    <w:name w:val="Strong"/>
    <w:basedOn w:val="a0"/>
    <w:uiPriority w:val="22"/>
    <w:qFormat/>
    <w:rsid w:val="007E4652"/>
    <w:rPr>
      <w:b/>
      <w:bCs/>
    </w:rPr>
  </w:style>
  <w:style w:type="character" w:styleId="a7">
    <w:name w:val="Hyperlink"/>
    <w:basedOn w:val="a0"/>
    <w:rsid w:val="007E4652"/>
    <w:rPr>
      <w:color w:val="0000FF" w:themeColor="hyperlink"/>
      <w:u w:val="single"/>
    </w:rPr>
  </w:style>
  <w:style w:type="paragraph" w:customStyle="1" w:styleId="Default">
    <w:name w:val="Default"/>
    <w:rsid w:val="00D11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52"/>
    <w:pPr>
      <w:widowControl w:val="0"/>
      <w:ind w:firstLine="40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87064F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4F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3">
    <w:name w:val="Emphasis"/>
    <w:uiPriority w:val="20"/>
    <w:qFormat/>
    <w:rsid w:val="0087064F"/>
    <w:rPr>
      <w:i/>
      <w:iCs/>
    </w:rPr>
  </w:style>
  <w:style w:type="paragraph" w:styleId="a4">
    <w:name w:val="List Paragraph"/>
    <w:basedOn w:val="a"/>
    <w:uiPriority w:val="34"/>
    <w:qFormat/>
    <w:rsid w:val="0087064F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E4652"/>
    <w:pPr>
      <w:widowControl/>
      <w:spacing w:before="100" w:beforeAutospacing="1" w:after="100" w:afterAutospacing="1"/>
      <w:ind w:firstLine="0"/>
      <w:jc w:val="left"/>
    </w:pPr>
    <w:rPr>
      <w:rFonts w:eastAsia="Times New Roman"/>
      <w:lang w:val="en-US" w:eastAsia="en-US"/>
    </w:rPr>
  </w:style>
  <w:style w:type="character" w:styleId="a6">
    <w:name w:val="Strong"/>
    <w:basedOn w:val="a0"/>
    <w:uiPriority w:val="22"/>
    <w:qFormat/>
    <w:rsid w:val="007E4652"/>
    <w:rPr>
      <w:b/>
      <w:bCs/>
    </w:rPr>
  </w:style>
  <w:style w:type="character" w:styleId="a7">
    <w:name w:val="Hyperlink"/>
    <w:basedOn w:val="a0"/>
    <w:rsid w:val="007E4652"/>
    <w:rPr>
      <w:color w:val="0000FF" w:themeColor="hyperlink"/>
      <w:u w:val="single"/>
    </w:rPr>
  </w:style>
  <w:style w:type="paragraph" w:customStyle="1" w:styleId="Default">
    <w:name w:val="Default"/>
    <w:rsid w:val="00D11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SPTI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Alex111</dc:creator>
  <cp:lastModifiedBy>Alex111</cp:lastModifiedBy>
  <cp:revision>2</cp:revision>
  <dcterms:created xsi:type="dcterms:W3CDTF">2025-03-01T12:31:00Z</dcterms:created>
  <dcterms:modified xsi:type="dcterms:W3CDTF">2025-03-01T12:31:00Z</dcterms:modified>
</cp:coreProperties>
</file>