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связи вариаций потоков релятивистских электронов внешнего радиационного пояса Земли с секторной структурой межпланетного магнитного поля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С. Оганов, В.В. Калегаев, Н.А. Власова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Межпланетное магнитное поле – важный внешний фактор, наряду с солнечным ветром, постоянно воздействующий на магнитосферу Земли, которая чутко реагирует на все изменения величины и направления межпланетного магнитного поля. Внешний электронный радиационный пояс – наиболее динамичная структура в магнитосфере Земли, состояние которой непосредственным образом зависит от геомагнитной возмущенности.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Представлена методика, позволяющая выяснить статистические зависимости динамики потоков релятивистских электронов внешнего радиационного пояса Земли от радиальной компоненты межпланетного магнитного поля.  В качестве основного параметра для оценки состояния внешнего электронного радиационного пояса используются экспериментальные данные о потоках электронов с энергией &gt;2 МэВ с геостационарного ИСЗ GOES, полученные в 2016-2019 гг. Информация по межпланетному магнитному полю получена из базы OMNI. Получено, что наиболее часто вариации потоков электронов на геостационарной наблюдаются в условиях, когда модуль радиальной (Bx) компоненты межпланетного магнитного поля не превышает 4 нТл. 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