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364"/>
        </w:tabs>
        <w:ind w:left="0" w:firstLine="0"/>
        <w:jc w:val="center"/>
        <w:rPr>
          <w:b w:val="1"/>
          <w:sz w:val="24"/>
          <w:szCs w:val="24"/>
          <w:highlight w:val="white"/>
        </w:rPr>
      </w:pPr>
      <w:r w:rsidDel="00000000" w:rsidR="00000000" w:rsidRPr="00000000">
        <w:rPr>
          <w:b w:val="1"/>
          <w:sz w:val="24"/>
          <w:szCs w:val="24"/>
          <w:highlight w:val="white"/>
          <w:rtl w:val="0"/>
        </w:rPr>
        <w:t xml:space="preserve">Фоновые  события в детекторах  установки Horizont-T </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364"/>
        </w:tabs>
        <w:ind w:left="0" w:firstLine="0"/>
        <w:jc w:val="center"/>
        <w:rPr>
          <w:b w:val="1"/>
          <w:sz w:val="30"/>
          <w:szCs w:val="30"/>
          <w:highlight w:val="white"/>
        </w:rPr>
      </w:pPr>
      <w:r w:rsidDel="00000000" w:rsidR="00000000" w:rsidRPr="00000000">
        <w:rPr>
          <w:b w:val="1"/>
          <w:sz w:val="24"/>
          <w:szCs w:val="24"/>
          <w:highlight w:val="white"/>
          <w:rtl w:val="0"/>
        </w:rPr>
        <w:t xml:space="preserve">на Тянь-Шаньской станции ФИАН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364"/>
        </w:tabs>
        <w:ind w:firstLine="426"/>
        <w:jc w:val="center"/>
        <w:rPr>
          <w:b w:val="1"/>
          <w:color w:val="000000"/>
          <w:sz w:val="24"/>
          <w:szCs w:val="24"/>
          <w:highlight w:val="white"/>
          <w:vertAlign w:val="superscript"/>
        </w:rPr>
      </w:pPr>
      <w:r w:rsidDel="00000000" w:rsidR="00000000" w:rsidRPr="00000000">
        <w:rPr>
          <w:b w:val="1"/>
          <w:i w:val="1"/>
          <w:sz w:val="24"/>
          <w:szCs w:val="24"/>
          <w:highlight w:val="white"/>
          <w:rtl w:val="0"/>
        </w:rPr>
        <w:t xml:space="preserve">Самойлов М.А.</w:t>
      </w:r>
      <w:r w:rsidDel="00000000" w:rsidR="00000000" w:rsidRPr="00000000">
        <w:rPr>
          <w:b w:val="1"/>
          <w:sz w:val="24"/>
          <w:szCs w:val="24"/>
          <w:highlight w:val="white"/>
          <w:vertAlign w:val="superscript"/>
          <w:rtl w:val="0"/>
        </w:rPr>
        <w:t xml:space="preserve">1</w:t>
      </w:r>
      <w:r w:rsidDel="00000000" w:rsidR="00000000" w:rsidRPr="00000000">
        <w:rPr>
          <w:b w:val="1"/>
          <w:i w:val="1"/>
          <w:color w:val="000000"/>
          <w:sz w:val="24"/>
          <w:szCs w:val="24"/>
          <w:highlight w:val="white"/>
          <w:rtl w:val="0"/>
        </w:rPr>
        <w:t xml:space="preserve">,</w:t>
      </w:r>
      <w:r w:rsidDel="00000000" w:rsidR="00000000" w:rsidRPr="00000000">
        <w:rPr>
          <w:b w:val="1"/>
          <w:i w:val="1"/>
          <w:color w:val="000000"/>
          <w:sz w:val="24"/>
          <w:szCs w:val="24"/>
          <w:rtl w:val="0"/>
        </w:rPr>
        <w:t xml:space="preserve"> </w:t>
      </w:r>
      <w:r w:rsidDel="00000000" w:rsidR="00000000" w:rsidRPr="00000000">
        <w:rPr>
          <w:b w:val="1"/>
          <w:i w:val="1"/>
          <w:sz w:val="24"/>
          <w:szCs w:val="24"/>
          <w:rtl w:val="0"/>
        </w:rPr>
        <w:t xml:space="preserve">Анохина</w:t>
      </w:r>
      <w:r w:rsidDel="00000000" w:rsidR="00000000" w:rsidRPr="00000000">
        <w:rPr>
          <w:b w:val="1"/>
          <w:i w:val="1"/>
          <w:color w:val="000000"/>
          <w:sz w:val="24"/>
          <w:szCs w:val="24"/>
          <w:rtl w:val="0"/>
        </w:rPr>
        <w:t xml:space="preserve"> А.</w:t>
      </w:r>
      <w:r w:rsidDel="00000000" w:rsidR="00000000" w:rsidRPr="00000000">
        <w:rPr>
          <w:b w:val="1"/>
          <w:i w:val="1"/>
          <w:sz w:val="24"/>
          <w:szCs w:val="24"/>
          <w:rtl w:val="0"/>
        </w:rPr>
        <w:t xml:space="preserve">М</w:t>
      </w:r>
      <w:r w:rsidDel="00000000" w:rsidR="00000000" w:rsidRPr="00000000">
        <w:rPr>
          <w:b w:val="1"/>
          <w:i w:val="1"/>
          <w:color w:val="000000"/>
          <w:sz w:val="24"/>
          <w:szCs w:val="24"/>
          <w:rtl w:val="0"/>
        </w:rPr>
        <w:t xml:space="preserve">.</w:t>
      </w:r>
      <w:r w:rsidDel="00000000" w:rsidR="00000000" w:rsidRPr="00000000">
        <w:rPr>
          <w:b w:val="1"/>
          <w:color w:val="000000"/>
          <w:sz w:val="24"/>
          <w:szCs w:val="24"/>
          <w:highlight w:val="white"/>
          <w:vertAlign w:val="superscript"/>
          <w:rtl w:val="0"/>
        </w:rPr>
        <w:t xml:space="preserve"> 2</w:t>
      </w:r>
      <w:r w:rsidDel="00000000" w:rsidR="00000000" w:rsidRPr="00000000">
        <w:rPr>
          <w:b w:val="1"/>
          <w:color w:val="000000"/>
          <w:sz w:val="24"/>
          <w:szCs w:val="24"/>
          <w:vertAlign w:val="superscript"/>
          <w:rtl w:val="0"/>
        </w:rPr>
        <w:t xml:space="preserve">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364"/>
        </w:tabs>
        <w:ind w:firstLine="426"/>
        <w:jc w:val="center"/>
        <w:rPr>
          <w:i w:val="1"/>
          <w:color w:val="000000"/>
          <w:sz w:val="24"/>
          <w:szCs w:val="24"/>
          <w:highlight w:val="white"/>
        </w:rPr>
      </w:pPr>
      <w:r w:rsidDel="00000000" w:rsidR="00000000" w:rsidRPr="00000000">
        <w:rPr>
          <w:color w:val="000000"/>
          <w:sz w:val="24"/>
          <w:szCs w:val="24"/>
          <w:highlight w:val="white"/>
          <w:vertAlign w:val="superscript"/>
          <w:rtl w:val="0"/>
        </w:rPr>
        <w:t xml:space="preserve">1</w:t>
      </w:r>
      <w:r w:rsidDel="00000000" w:rsidR="00000000" w:rsidRPr="00000000">
        <w:rPr>
          <w:i w:val="1"/>
          <w:color w:val="000000"/>
          <w:sz w:val="24"/>
          <w:szCs w:val="24"/>
          <w:highlight w:val="white"/>
          <w:rtl w:val="0"/>
        </w:rPr>
        <w:t xml:space="preserve">студент, </w:t>
      </w:r>
      <w:r w:rsidDel="00000000" w:rsidR="00000000" w:rsidRPr="00000000">
        <w:rPr>
          <w:color w:val="000000"/>
          <w:sz w:val="24"/>
          <w:szCs w:val="24"/>
          <w:highlight w:val="white"/>
          <w:vertAlign w:val="superscript"/>
          <w:rtl w:val="0"/>
        </w:rPr>
        <w:t xml:space="preserve">2</w:t>
      </w:r>
      <w:r w:rsidDel="00000000" w:rsidR="00000000" w:rsidRPr="00000000">
        <w:rPr>
          <w:i w:val="1"/>
          <w:sz w:val="24"/>
          <w:szCs w:val="24"/>
          <w:highlight w:val="white"/>
          <w:rtl w:val="0"/>
        </w:rPr>
        <w:t xml:space="preserve">научный руководитель</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00" w:lineRule="auto"/>
        <w:ind w:firstLine="426"/>
        <w:jc w:val="center"/>
        <w:rPr>
          <w:i w:val="1"/>
          <w:color w:val="000000"/>
          <w:sz w:val="24"/>
          <w:szCs w:val="24"/>
          <w:highlight w:val="white"/>
        </w:rPr>
      </w:pPr>
      <w:r w:rsidDel="00000000" w:rsidR="00000000" w:rsidRPr="00000000">
        <w:rPr>
          <w:sz w:val="24"/>
          <w:szCs w:val="24"/>
          <w:highlight w:val="white"/>
          <w:vertAlign w:val="superscript"/>
          <w:rtl w:val="0"/>
        </w:rPr>
        <w:t xml:space="preserve">1,2</w:t>
      </w:r>
      <w:r w:rsidDel="00000000" w:rsidR="00000000" w:rsidRPr="00000000">
        <w:rPr>
          <w:i w:val="1"/>
          <w:color w:val="000000"/>
          <w:sz w:val="24"/>
          <w:szCs w:val="24"/>
          <w:highlight w:val="white"/>
          <w:rtl w:val="0"/>
        </w:rPr>
        <w:t xml:space="preserve">Московский государственный университет имени М.В.Ломоносова, </w:t>
        <w:br w:type="textWrapping"/>
        <w:t xml:space="preserve">физический факультет, Москва, Россия</w:t>
      </w:r>
      <w:r w:rsidDel="00000000" w:rsidR="00000000" w:rsidRPr="00000000">
        <w:rPr>
          <w:i w:val="1"/>
          <w:sz w:val="24"/>
          <w:szCs w:val="24"/>
          <w:highlight w:val="white"/>
          <w:rtl w:val="0"/>
        </w:rPr>
        <w:t xml:space="preserve">, </w:t>
      </w:r>
      <w:r w:rsidDel="00000000" w:rsidR="00000000" w:rsidRPr="00000000">
        <w:rPr>
          <w:i w:val="1"/>
          <w:color w:val="000000"/>
          <w:sz w:val="24"/>
          <w:szCs w:val="24"/>
          <w:highlight w:val="white"/>
          <w:rtl w:val="0"/>
        </w:rPr>
        <w:t xml:space="preserve">E–mail</w:t>
      </w:r>
      <w:r w:rsidDel="00000000" w:rsidR="00000000" w:rsidRPr="00000000">
        <w:rPr>
          <w:color w:val="000000"/>
          <w:sz w:val="24"/>
          <w:szCs w:val="24"/>
          <w:highlight w:val="white"/>
          <w:rtl w:val="0"/>
        </w:rPr>
        <w:t xml:space="preserve">: </w:t>
      </w:r>
      <w:hyperlink r:id="rId7">
        <w:r w:rsidDel="00000000" w:rsidR="00000000" w:rsidRPr="00000000">
          <w:rPr>
            <w:i w:val="1"/>
            <w:color w:val="1155cc"/>
            <w:sz w:val="24"/>
            <w:szCs w:val="24"/>
            <w:highlight w:val="white"/>
            <w:u w:val="single"/>
            <w:rtl w:val="0"/>
          </w:rPr>
          <w:t xml:space="preserve">samoilov.ma19@physics.msu.ru</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firstLine="720"/>
        <w:jc w:val="both"/>
        <w:rPr>
          <w:sz w:val="24"/>
          <w:szCs w:val="24"/>
        </w:rPr>
      </w:pPr>
      <w:r w:rsidDel="00000000" w:rsidR="00000000" w:rsidRPr="00000000">
        <w:rPr>
          <w:sz w:val="24"/>
          <w:szCs w:val="24"/>
          <w:rtl w:val="0"/>
        </w:rPr>
        <w:t xml:space="preserve">Экспериментальная установка Horizont-T [1] (рис. 1) расположенная на Тянь-Шаньской станции ФИАН (3350 м над уровнем моря), предназначена для регистрации широких атмосферных ливней (ШАЛ) сверхвысоких энергий. Возможности аппаратуры позволяют оцифровывать сигнал, регистрируемый в сцинтилляционных детекторных пунктах, с разрешением 2 нс, и исследовать тонкую временную структуру ШАЛ, в частности, так называемые мультимодальные события [2] (рис. 2, справа). </w:t>
      </w:r>
    </w:p>
    <w:p w:rsidR="00000000" w:rsidDel="00000000" w:rsidP="00000000" w:rsidRDefault="00000000" w:rsidRPr="00000000" w14:paraId="00000009">
      <w:pPr>
        <w:ind w:firstLine="720"/>
        <w:jc w:val="center"/>
        <w:rPr>
          <w:sz w:val="24"/>
          <w:szCs w:val="24"/>
        </w:rPr>
      </w:pPr>
      <w:r w:rsidDel="00000000" w:rsidR="00000000" w:rsidRPr="00000000">
        <w:rPr>
          <w:sz w:val="24"/>
          <w:szCs w:val="24"/>
        </w:rPr>
        <w:drawing>
          <wp:inline distB="114300" distT="114300" distL="114300" distR="114300">
            <wp:extent cx="2643643" cy="1413118"/>
            <wp:effectExtent b="0" l="0" r="0" t="0"/>
            <wp:docPr id="198274410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43643" cy="141311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ind w:left="566" w:firstLine="0"/>
        <w:jc w:val="center"/>
        <w:rPr/>
      </w:pPr>
      <w:r w:rsidDel="00000000" w:rsidR="00000000" w:rsidRPr="00000000">
        <w:rPr>
          <w:b w:val="1"/>
          <w:i w:val="1"/>
          <w:sz w:val="22"/>
          <w:szCs w:val="22"/>
          <w:rtl w:val="0"/>
        </w:rPr>
        <w:t xml:space="preserve">Рис. 1.</w:t>
      </w:r>
      <w:r w:rsidDel="00000000" w:rsidR="00000000" w:rsidRPr="00000000">
        <w:rPr>
          <w:sz w:val="22"/>
          <w:szCs w:val="22"/>
          <w:rtl w:val="0"/>
        </w:rPr>
        <w:t xml:space="preserve"> </w:t>
      </w:r>
      <w:r w:rsidDel="00000000" w:rsidR="00000000" w:rsidRPr="00000000">
        <w:rPr>
          <w:rtl w:val="0"/>
        </w:rPr>
        <w:t xml:space="preserve">Установка Horizont-Т: 13 пунктов регистрации, высота над уровнем моря - 3350 м.</w:t>
      </w:r>
    </w:p>
    <w:p w:rsidR="00000000" w:rsidDel="00000000" w:rsidP="00000000" w:rsidRDefault="00000000" w:rsidRPr="00000000" w14:paraId="0000000B">
      <w:pPr>
        <w:ind w:left="566" w:firstLine="0"/>
        <w:jc w:val="cente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0" w:firstLine="0"/>
        <w:jc w:val="both"/>
        <w:rPr>
          <w:sz w:val="24"/>
          <w:szCs w:val="24"/>
        </w:rPr>
      </w:pPr>
      <w:sdt>
        <w:sdtPr>
          <w:tag w:val="goog_rdk_0"/>
        </w:sdtPr>
        <w:sdtContent>
          <w:r w:rsidDel="00000000" w:rsidR="00000000" w:rsidRPr="00000000">
            <w:rPr>
              <w:rFonts w:ascii="Gungsuh" w:cs="Gungsuh" w:eastAsia="Gungsuh" w:hAnsi="Gungsuh"/>
              <w:sz w:val="24"/>
              <w:szCs w:val="24"/>
              <w:rtl w:val="0"/>
            </w:rPr>
            <w:t xml:space="preserve">    Была поставлена задача оценить возможный вклад низкоэнергичных (E ≥ </w:t>
          </w:r>
        </w:sdtContent>
      </w:sdt>
      <m:oMath>
        <m:sSup>
          <m:sSupPr>
            <m:ctrlPr>
              <w:rPr>
                <w:sz w:val="24"/>
                <w:szCs w:val="24"/>
              </w:rPr>
            </m:ctrlPr>
          </m:sSupPr>
          <m:e>
            <m:r>
              <w:rPr>
                <w:sz w:val="24"/>
                <w:szCs w:val="24"/>
              </w:rPr>
              <m:t xml:space="preserve">10</m:t>
            </m:r>
          </m:e>
          <m:sup>
            <m:r>
              <w:rPr>
                <w:sz w:val="24"/>
                <w:szCs w:val="24"/>
              </w:rPr>
              <m:t xml:space="preserve">12</m:t>
            </m:r>
          </m:sup>
        </m:sSup>
      </m:oMath>
      <w:sdt>
        <w:sdtPr>
          <w:tag w:val="goog_rdk_1"/>
        </w:sdtPr>
        <w:sdtContent>
          <w:r w:rsidDel="00000000" w:rsidR="00000000" w:rsidRPr="00000000">
            <w:rPr>
              <w:rFonts w:ascii="Gungsuh" w:cs="Gungsuh" w:eastAsia="Gungsuh" w:hAnsi="Gungsuh"/>
              <w:sz w:val="24"/>
              <w:szCs w:val="24"/>
              <w:rtl w:val="0"/>
            </w:rPr>
            <w:t xml:space="preserve"> эВ) ливней в регистрируемый сигнал от высокоэнергичных ШАЛ (E ≥ </w:t>
          </w:r>
        </w:sdtContent>
      </w:sdt>
      <m:oMath>
        <m:sSup>
          <m:sSupPr>
            <m:ctrlPr>
              <w:rPr>
                <w:sz w:val="24"/>
                <w:szCs w:val="24"/>
              </w:rPr>
            </m:ctrlPr>
          </m:sSupPr>
          <m:e>
            <m:r>
              <w:rPr>
                <w:sz w:val="24"/>
                <w:szCs w:val="24"/>
              </w:rPr>
              <m:t xml:space="preserve">10</m:t>
            </m:r>
          </m:e>
          <m:sup>
            <m:r>
              <w:rPr>
                <w:sz w:val="24"/>
                <w:szCs w:val="24"/>
              </w:rPr>
              <m:t xml:space="preserve">16</m:t>
            </m:r>
          </m:sup>
        </m:sSup>
      </m:oMath>
      <w:r w:rsidDel="00000000" w:rsidR="00000000" w:rsidRPr="00000000">
        <w:rPr>
          <w:sz w:val="24"/>
          <w:szCs w:val="24"/>
          <w:rtl w:val="0"/>
        </w:rPr>
        <w:t xml:space="preserve"> эВ). </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0" w:firstLine="0"/>
        <w:jc w:val="both"/>
        <w:rPr>
          <w:sz w:val="24"/>
          <w:szCs w:val="24"/>
        </w:rPr>
      </w:pPr>
      <w:r w:rsidDel="00000000" w:rsidR="00000000" w:rsidRPr="00000000">
        <w:rPr>
          <w:sz w:val="24"/>
          <w:szCs w:val="24"/>
          <w:rtl w:val="0"/>
        </w:rPr>
        <w:t xml:space="preserve">  Были рассмотрены фоновые экспериментальные события (рис.2, слева),  которые могут быть случайно включены в регистрируемые события ШАЛ, а также атмосферные каскады в диапазоне энергий  </w:t>
      </w:r>
      <m:oMath>
        <m:sSup>
          <m:sSupPr>
            <m:ctrlPr>
              <w:rPr>
                <w:sz w:val="24"/>
                <w:szCs w:val="24"/>
              </w:rPr>
            </m:ctrlPr>
          </m:sSupPr>
          <m:e>
            <m:r>
              <w:rPr>
                <w:sz w:val="24"/>
                <w:szCs w:val="24"/>
              </w:rPr>
              <m:t xml:space="preserve">10</m:t>
            </m:r>
          </m:e>
          <m:sup>
            <m:r>
              <w:rPr>
                <w:sz w:val="24"/>
                <w:szCs w:val="24"/>
              </w:rPr>
              <m:t xml:space="preserve">12</m:t>
            </m:r>
          </m:sup>
        </m:sSup>
      </m:oMath>
      <w:r w:rsidDel="00000000" w:rsidR="00000000" w:rsidRPr="00000000">
        <w:rPr>
          <w:sz w:val="24"/>
          <w:szCs w:val="24"/>
          <w:rtl w:val="0"/>
        </w:rPr>
        <w:t xml:space="preserve"> </w:t>
      </w:r>
      <m:oMath>
        <m:r>
          <m:t>≤</m:t>
        </m:r>
        <m:r>
          <w:rPr>
            <w:sz w:val="24"/>
            <w:szCs w:val="24"/>
          </w:rPr>
          <m:t xml:space="preserve">E</m:t>
        </m:r>
        <m:r>
          <w:rPr>
            <w:sz w:val="24"/>
            <w:szCs w:val="24"/>
          </w:rPr>
          <m:t>≤</m:t>
        </m:r>
      </m:oMath>
      <w:r w:rsidDel="00000000" w:rsidR="00000000" w:rsidRPr="00000000">
        <w:rPr>
          <w:sz w:val="24"/>
          <w:szCs w:val="24"/>
          <w:rtl w:val="0"/>
        </w:rPr>
        <w:t xml:space="preserve"> </w:t>
      </w:r>
      <m:oMath>
        <m:sSup>
          <m:sSupPr>
            <m:ctrlPr>
              <w:rPr>
                <w:sz w:val="24"/>
                <w:szCs w:val="24"/>
              </w:rPr>
            </m:ctrlPr>
          </m:sSupPr>
          <m:e>
            <m:r>
              <w:rPr>
                <w:sz w:val="24"/>
                <w:szCs w:val="24"/>
              </w:rPr>
              <m:t xml:space="preserve">10</m:t>
            </m:r>
          </m:e>
          <m:sup>
            <m:r>
              <w:rPr>
                <w:sz w:val="24"/>
                <w:szCs w:val="24"/>
              </w:rPr>
              <m:t xml:space="preserve">16</m:t>
            </m:r>
          </m:sup>
        </m:sSup>
      </m:oMath>
      <w:r w:rsidDel="00000000" w:rsidR="00000000" w:rsidRPr="00000000">
        <w:rPr>
          <w:sz w:val="24"/>
          <w:szCs w:val="24"/>
          <w:rtl w:val="0"/>
        </w:rPr>
        <w:t xml:space="preserve"> эВ, по спектру с </w:t>
      </w:r>
      <m:oMath>
        <m:r>
          <m:t>α</m:t>
        </m:r>
        <m:r>
          <w:rPr>
            <w:sz w:val="24"/>
            <w:szCs w:val="24"/>
          </w:rPr>
          <m:t xml:space="preserve">=-2.5,</m:t>
        </m:r>
      </m:oMath>
      <w:r w:rsidDel="00000000" w:rsidR="00000000" w:rsidRPr="00000000">
        <w:rPr>
          <w:sz w:val="24"/>
          <w:szCs w:val="24"/>
          <w:rtl w:val="0"/>
        </w:rPr>
        <w:t xml:space="preserve"> смоделированные с помощью кода Corsika-77500 [3]. </w:t>
      </w:r>
    </w:p>
    <w:tbl>
      <w:tblPr>
        <w:tblStyle w:val="Table1"/>
        <w:tblW w:w="10545.0" w:type="dxa"/>
        <w:jc w:val="center"/>
        <w:tblLayout w:type="fixed"/>
        <w:tblLook w:val="0000"/>
      </w:tblPr>
      <w:tblGrid>
        <w:gridCol w:w="10290"/>
        <w:gridCol w:w="255"/>
        <w:tblGridChange w:id="0">
          <w:tblGrid>
            <w:gridCol w:w="10290"/>
            <w:gridCol w:w="255"/>
          </w:tblGrid>
        </w:tblGridChange>
      </w:tblGrid>
      <w:tr>
        <w:trPr>
          <w:cantSplit w:val="0"/>
          <w:trHeight w:val="2985" w:hRule="atLeast"/>
          <w:tblHeader w:val="0"/>
        </w:trPr>
        <w:tc>
          <w:tcP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ind w:left="0" w:right="358.937007874016" w:firstLine="0"/>
              <w:jc w:val="both"/>
              <w:rPr>
                <w:sz w:val="24"/>
                <w:szCs w:val="24"/>
              </w:rPr>
            </w:pPr>
            <w:r w:rsidDel="00000000" w:rsidR="00000000" w:rsidRPr="00000000">
              <w:rPr>
                <w:rtl w:val="0"/>
              </w:rPr>
            </w:r>
          </w:p>
          <w:p w:rsidR="00000000" w:rsidDel="00000000" w:rsidP="00000000" w:rsidRDefault="00000000" w:rsidRPr="00000000" w14:paraId="0000000F">
            <w:pPr>
              <w:ind w:left="566" w:right="358.937007874016" w:firstLine="709.5905511811022"/>
              <w:jc w:val="both"/>
              <w:rPr>
                <w:sz w:val="24"/>
                <w:szCs w:val="24"/>
              </w:rPr>
            </w:pPr>
            <w:r w:rsidDel="00000000" w:rsidR="00000000" w:rsidRPr="00000000">
              <w:rPr>
                <w:sz w:val="24"/>
                <w:szCs w:val="24"/>
                <w:rtl w:val="0"/>
              </w:rPr>
              <w:t xml:space="preserve">Калибровка детекторов была проведена путем аппроксимации распределений амплитуд импульсов функциями Ландау  (рис. 3),  параметры которых позволили получить значения энерговыделений для одиночных релятивистских частиц при прохождении чувствительного слоя детектора, так называемый одночастичный спектр. </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566" w:right="358.937007874016" w:firstLine="709.5905511811022"/>
              <w:jc w:val="both"/>
              <w:rPr>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566" w:right="358.937007874016" w:firstLine="709.5905511811022"/>
              <w:jc w:val="both"/>
              <w:rPr>
                <w:sz w:val="24"/>
                <w:szCs w:val="24"/>
              </w:rPr>
            </w:pPr>
            <w:r w:rsidDel="00000000" w:rsidR="00000000" w:rsidRPr="00000000">
              <w:rPr>
                <w:sz w:val="24"/>
                <w:szCs w:val="24"/>
                <w:rtl w:val="0"/>
              </w:rPr>
              <w:t xml:space="preserve">В результате обработки  данных эксперимента и анализа модельных событий, с учетом нормировки на первичный спектр космических лучей, были получены оценки частоты прихода вторичных частиц в детекторы (~ 550 частиц в секунду на 1 м</w:t>
            </w:r>
            <w:r w:rsidDel="00000000" w:rsidR="00000000" w:rsidRPr="00000000">
              <w:rPr>
                <w:sz w:val="24"/>
                <w:szCs w:val="24"/>
                <w:vertAlign w:val="superscript"/>
                <w:rtl w:val="0"/>
              </w:rPr>
              <w:t xml:space="preserve">2</w:t>
            </w:r>
            <w:r w:rsidDel="00000000" w:rsidR="00000000" w:rsidRPr="00000000">
              <w:rPr>
                <w:sz w:val="24"/>
                <w:szCs w:val="24"/>
                <w:rtl w:val="0"/>
              </w:rPr>
              <w:t xml:space="preserve"> для экспериментальных данных и ~514 для модельных). Такое совпадение результатов позволяет сделать вывод о верности предположения о том, что экспериментальные фоновые события обусловлены именно низкоэнергичными атмосферными каскадами.  </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566" w:right="358.937007874016" w:firstLine="709.5905511811022"/>
              <w:jc w:val="both"/>
              <w:rPr>
                <w:sz w:val="24"/>
                <w:szCs w:val="24"/>
              </w:rPr>
            </w:pPr>
            <w:r w:rsidDel="00000000" w:rsidR="00000000" w:rsidRPr="00000000">
              <w:rPr>
                <w:sz w:val="24"/>
                <w:szCs w:val="24"/>
                <w:rtl w:val="0"/>
              </w:rPr>
              <w:t xml:space="preserve">Вторым результатом проведенного анализа фонового сигнала является вывод о том, что низкоэнергичные ливни не могут имитировать мультимодальные события в эксперименте Горизонт-Т, однако их необходимо учитывать при анализе таких событий. </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566" w:right="358.937007874016" w:firstLine="709.5905511811022"/>
              <w:jc w:val="both"/>
              <w:rPr>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566" w:right="358.937007874016" w:firstLine="709.5905511811022"/>
              <w:jc w:val="both"/>
              <w:rPr>
                <w:color w:val="000000"/>
                <w:sz w:val="24"/>
                <w:szCs w:val="24"/>
              </w:rPr>
            </w:pPr>
            <w:r w:rsidDel="00000000" w:rsidR="00000000" w:rsidRPr="00000000">
              <w:rPr>
                <w:sz w:val="24"/>
                <w:szCs w:val="24"/>
              </w:rPr>
              <w:drawing>
                <wp:inline distB="114300" distT="114300" distL="114300" distR="114300">
                  <wp:extent cx="3939188" cy="2109423"/>
                  <wp:effectExtent b="0" l="0" r="0" t="0"/>
                  <wp:docPr id="198274410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39188" cy="21094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ind w:firstLine="426"/>
              <w:jc w:val="both"/>
              <w:rPr>
                <w:color w:val="000000"/>
                <w:sz w:val="24"/>
                <w:szCs w:val="24"/>
              </w:rPr>
            </w:pPr>
            <w:r w:rsidDel="00000000" w:rsidR="00000000" w:rsidRPr="00000000">
              <w:rPr>
                <w:rtl w:val="0"/>
              </w:rPr>
            </w:r>
          </w:p>
        </w:tc>
      </w:tr>
      <w:tr>
        <w:trPr>
          <w:cantSplit w:val="0"/>
          <w:trHeight w:val="1140" w:hRule="atLeast"/>
          <w:tblHeader w:val="0"/>
        </w:trPr>
        <w:tc>
          <w:tcPr>
            <w:gridSpan w:val="2"/>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ind w:left="0" w:firstLine="0"/>
              <w:jc w:val="both"/>
              <w:rPr>
                <w:i w:val="1"/>
                <w:color w:val="000000"/>
                <w:sz w:val="22"/>
                <w:szCs w:val="22"/>
              </w:rPr>
            </w:pPr>
            <w:r w:rsidDel="00000000" w:rsidR="00000000" w:rsidRPr="00000000">
              <w:rPr>
                <w:b w:val="1"/>
                <w:i w:val="1"/>
                <w:color w:val="000000"/>
                <w:sz w:val="22"/>
                <w:szCs w:val="22"/>
                <w:rtl w:val="0"/>
              </w:rPr>
              <w:t xml:space="preserve">Рис. </w:t>
            </w:r>
            <w:r w:rsidDel="00000000" w:rsidR="00000000" w:rsidRPr="00000000">
              <w:rPr>
                <w:b w:val="1"/>
                <w:i w:val="1"/>
                <w:sz w:val="22"/>
                <w:szCs w:val="22"/>
                <w:rtl w:val="0"/>
              </w:rPr>
              <w:t xml:space="preserve">2</w:t>
            </w:r>
            <w:r w:rsidDel="00000000" w:rsidR="00000000" w:rsidRPr="00000000">
              <w:rPr>
                <w:b w:val="1"/>
                <w:i w:val="1"/>
                <w:color w:val="000000"/>
                <w:sz w:val="22"/>
                <w:szCs w:val="22"/>
                <w:rtl w:val="0"/>
              </w:rPr>
              <w:t xml:space="preserve">.</w:t>
            </w:r>
            <w:r w:rsidDel="00000000" w:rsidR="00000000" w:rsidRPr="00000000">
              <w:rPr>
                <w:color w:val="000000"/>
                <w:sz w:val="22"/>
                <w:szCs w:val="22"/>
                <w:rtl w:val="0"/>
              </w:rPr>
              <w:t xml:space="preserve"> </w:t>
            </w:r>
            <w:r w:rsidDel="00000000" w:rsidR="00000000" w:rsidRPr="00000000">
              <w:rPr>
                <w:i w:val="1"/>
                <w:sz w:val="22"/>
                <w:szCs w:val="22"/>
                <w:rtl w:val="0"/>
              </w:rPr>
              <w:t xml:space="preserve"> Фоновое низкоэнергичное событие, в одном из детекторных пунктов - слева, и мультимодальное событие в нескольких детекторных пунктах - справа, зарегистрированные на установке Horizont-Т.</w:t>
            </w:r>
            <w:r w:rsidDel="00000000" w:rsidR="00000000" w:rsidRPr="00000000">
              <w:rPr>
                <w:rtl w:val="0"/>
              </w:rPr>
            </w:r>
          </w:p>
        </w:tc>
      </w:tr>
      <w:tr>
        <w:trPr>
          <w:cantSplit w:val="0"/>
          <w:trHeight w:val="363" w:hRule="atLeast"/>
          <w:tblHeader w:val="0"/>
        </w:trPr>
        <w:tc>
          <w:tcPr>
            <w:gridSpan w:val="2"/>
            <w:vAlign w:val="center"/>
          </w:tcPr>
          <w:p w:rsidR="00000000" w:rsidDel="00000000" w:rsidP="00000000" w:rsidRDefault="00000000" w:rsidRPr="00000000" w14:paraId="00000018">
            <w:pPr>
              <w:pBdr>
                <w:top w:space="0" w:sz="0" w:val="nil"/>
                <w:left w:space="0" w:sz="0" w:val="nil"/>
                <w:bottom w:space="0" w:sz="0" w:val="nil"/>
                <w:right w:space="0" w:sz="0" w:val="nil"/>
                <w:between w:space="0" w:sz="0" w:val="nil"/>
              </w:pBdr>
              <w:ind w:left="0" w:firstLine="0"/>
              <w:jc w:val="left"/>
              <w:rPr>
                <w:b w:val="1"/>
                <w:i w:val="1"/>
                <w:color w:val="000000"/>
                <w:sz w:val="22"/>
                <w:szCs w:val="22"/>
              </w:rPr>
            </w:pPr>
            <w:r w:rsidDel="00000000" w:rsidR="00000000" w:rsidRPr="00000000">
              <w:rPr>
                <w:rtl w:val="0"/>
              </w:rPr>
            </w:r>
          </w:p>
        </w:tc>
      </w:tr>
      <w:tr>
        <w:trPr>
          <w:cantSplit w:val="0"/>
          <w:trHeight w:val="363" w:hRule="atLeast"/>
          <w:tblHeader w:val="0"/>
        </w:trPr>
        <w:tc>
          <w:tcPr>
            <w:gridSpan w:val="2"/>
            <w:vAlign w:val="center"/>
          </w:tcPr>
          <w:p w:rsidR="00000000" w:rsidDel="00000000" w:rsidP="00000000" w:rsidRDefault="00000000" w:rsidRPr="00000000" w14:paraId="0000001A">
            <w:pPr>
              <w:ind w:firstLine="426"/>
              <w:jc w:val="center"/>
              <w:rPr>
                <w:b w:val="1"/>
                <w:i w:val="1"/>
                <w:color w:val="000000"/>
                <w:sz w:val="22"/>
                <w:szCs w:val="22"/>
              </w:rPr>
            </w:pPr>
            <w:r w:rsidDel="00000000" w:rsidR="00000000" w:rsidRPr="00000000">
              <w:rPr>
                <w:b w:val="1"/>
                <w:i w:val="1"/>
                <w:sz w:val="22"/>
                <w:szCs w:val="22"/>
              </w:rPr>
              <w:drawing>
                <wp:inline distB="114300" distT="114300" distL="114300" distR="114300">
                  <wp:extent cx="3520088" cy="2042833"/>
                  <wp:effectExtent b="0" l="0" r="0" t="0"/>
                  <wp:docPr id="198274410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520088" cy="20428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C">
      <w:pPr>
        <w:pBdr>
          <w:top w:space="0" w:sz="0" w:val="nil"/>
          <w:left w:space="0" w:sz="0" w:val="nil"/>
          <w:bottom w:space="0" w:sz="0" w:val="nil"/>
          <w:right w:space="0" w:sz="0" w:val="nil"/>
          <w:between w:space="0" w:sz="0" w:val="nil"/>
        </w:pBdr>
        <w:ind w:firstLine="426"/>
        <w:jc w:val="both"/>
        <w:rPr>
          <w:b w:val="1"/>
          <w:i w:val="1"/>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ind w:firstLine="426"/>
        <w:jc w:val="both"/>
        <w:rPr/>
      </w:pPr>
      <w:r w:rsidDel="00000000" w:rsidR="00000000" w:rsidRPr="00000000">
        <w:rPr>
          <w:b w:val="1"/>
          <w:i w:val="1"/>
          <w:color w:val="000000"/>
          <w:sz w:val="18"/>
          <w:szCs w:val="18"/>
          <w:rtl w:val="0"/>
        </w:rPr>
        <w:t xml:space="preserve">Рис. </w:t>
      </w:r>
      <w:r w:rsidDel="00000000" w:rsidR="00000000" w:rsidRPr="00000000">
        <w:rPr>
          <w:b w:val="1"/>
          <w:i w:val="1"/>
          <w:sz w:val="18"/>
          <w:szCs w:val="18"/>
          <w:rtl w:val="0"/>
        </w:rPr>
        <w:t xml:space="preserve">3</w:t>
      </w:r>
      <w:r w:rsidDel="00000000" w:rsidR="00000000" w:rsidRPr="00000000">
        <w:rPr>
          <w:b w:val="1"/>
          <w:i w:val="1"/>
          <w:color w:val="000000"/>
          <w:sz w:val="18"/>
          <w:szCs w:val="18"/>
          <w:rtl w:val="0"/>
        </w:rPr>
        <w:t xml:space="preserve">.</w:t>
      </w:r>
      <w:r w:rsidDel="00000000" w:rsidR="00000000" w:rsidRPr="00000000">
        <w:rPr>
          <w:i w:val="1"/>
          <w:rtl w:val="0"/>
        </w:rPr>
        <w:t xml:space="preserve"> Участки экспериментальных распределений амплитуд и аппроксимации правой части распределений функциями Ландау для всех детекторов Horizont-T. Во врезках указаны параметры распределения Ландау и точности аппроксимации.</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firstLine="426"/>
        <w:jc w:val="both"/>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ind w:firstLine="426"/>
        <w:jc w:val="both"/>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firstLine="426"/>
        <w:jc w:val="both"/>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firstLine="426"/>
        <w:jc w:val="both"/>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3826.7716535433065" w:firstLine="0"/>
        <w:jc w:val="left"/>
        <w:rPr>
          <w:color w:val="000000"/>
          <w:sz w:val="18"/>
          <w:szCs w:val="18"/>
        </w:rPr>
      </w:pPr>
      <w:r w:rsidDel="00000000" w:rsidR="00000000" w:rsidRPr="00000000">
        <w:rPr>
          <w:b w:val="1"/>
          <w:color w:val="000000"/>
          <w:sz w:val="18"/>
          <w:szCs w:val="18"/>
          <w:highlight w:val="white"/>
          <w:rtl w:val="0"/>
        </w:rPr>
        <w:t xml:space="preserve">Литература</w:t>
      </w:r>
      <w:r w:rsidDel="00000000" w:rsidR="00000000" w:rsidRPr="00000000">
        <w:rPr>
          <w:rtl w:val="0"/>
        </w:rPr>
      </w:r>
    </w:p>
    <w:p w:rsidR="00000000" w:rsidDel="00000000" w:rsidP="00000000" w:rsidRDefault="00000000" w:rsidRPr="00000000" w14:paraId="00000023">
      <w:pPr>
        <w:numPr>
          <w:ilvl w:val="0"/>
          <w:numId w:val="1"/>
        </w:numPr>
        <w:ind w:left="928" w:hanging="360"/>
        <w:rPr>
          <w:sz w:val="18"/>
          <w:szCs w:val="18"/>
        </w:rPr>
      </w:pPr>
      <w:r w:rsidDel="00000000" w:rsidR="00000000" w:rsidRPr="00000000">
        <w:rPr>
          <w:sz w:val="18"/>
          <w:szCs w:val="18"/>
          <w:rtl w:val="0"/>
        </w:rPr>
        <w:t xml:space="preserve">The “Horizon-T” Experiment: Extensive Air Showers Detection.  </w:t>
      </w:r>
      <w:hyperlink r:id="rId11">
        <w:r w:rsidDel="00000000" w:rsidR="00000000" w:rsidRPr="00000000">
          <w:rPr>
            <w:sz w:val="18"/>
            <w:szCs w:val="18"/>
            <w:rtl w:val="0"/>
          </w:rPr>
          <w:t xml:space="preserve">R.U. Beisembaev</w:t>
        </w:r>
      </w:hyperlink>
      <w:r w:rsidDel="00000000" w:rsidR="00000000" w:rsidRPr="00000000">
        <w:rPr>
          <w:sz w:val="18"/>
          <w:szCs w:val="18"/>
          <w:rtl w:val="0"/>
        </w:rPr>
        <w:t xml:space="preserve">,</w:t>
      </w:r>
      <w:hyperlink r:id="rId12">
        <w:r w:rsidDel="00000000" w:rsidR="00000000" w:rsidRPr="00000000">
          <w:rPr>
            <w:sz w:val="18"/>
            <w:szCs w:val="18"/>
            <w:rtl w:val="0"/>
          </w:rPr>
          <w:t xml:space="preserve"> E.A. Beisembaeva</w:t>
        </w:r>
      </w:hyperlink>
      <w:r w:rsidDel="00000000" w:rsidR="00000000" w:rsidRPr="00000000">
        <w:rPr>
          <w:sz w:val="18"/>
          <w:szCs w:val="18"/>
          <w:rtl w:val="0"/>
        </w:rPr>
        <w:t xml:space="preserve">,</w:t>
      </w:r>
      <w:hyperlink r:id="rId13">
        <w:r w:rsidDel="00000000" w:rsidR="00000000" w:rsidRPr="00000000">
          <w:rPr>
            <w:sz w:val="18"/>
            <w:szCs w:val="18"/>
            <w:rtl w:val="0"/>
          </w:rPr>
          <w:t xml:space="preserve"> O.D. Dalkarov</w:t>
        </w:r>
      </w:hyperlink>
      <w:r w:rsidDel="00000000" w:rsidR="00000000" w:rsidRPr="00000000">
        <w:rPr>
          <w:sz w:val="18"/>
          <w:szCs w:val="18"/>
          <w:rtl w:val="0"/>
        </w:rPr>
        <w:t xml:space="preserve">,</w:t>
      </w:r>
      <w:hyperlink r:id="rId14">
        <w:r w:rsidDel="00000000" w:rsidR="00000000" w:rsidRPr="00000000">
          <w:rPr>
            <w:sz w:val="18"/>
            <w:szCs w:val="18"/>
            <w:rtl w:val="0"/>
          </w:rPr>
          <w:t xml:space="preserve"> V.A. Ryabov</w:t>
        </w:r>
      </w:hyperlink>
      <w:r w:rsidDel="00000000" w:rsidR="00000000" w:rsidRPr="00000000">
        <w:rPr>
          <w:sz w:val="18"/>
          <w:szCs w:val="18"/>
          <w:rtl w:val="0"/>
        </w:rPr>
        <w:t xml:space="preserve">,</w:t>
      </w:r>
      <w:hyperlink r:id="rId15">
        <w:r w:rsidDel="00000000" w:rsidR="00000000" w:rsidRPr="00000000">
          <w:rPr>
            <w:sz w:val="18"/>
            <w:szCs w:val="18"/>
            <w:rtl w:val="0"/>
          </w:rPr>
          <w:t xml:space="preserve"> A.V. Stepanov</w:t>
        </w:r>
      </w:hyperlink>
      <w:r w:rsidDel="00000000" w:rsidR="00000000" w:rsidRPr="00000000">
        <w:rPr>
          <w:sz w:val="18"/>
          <w:szCs w:val="18"/>
          <w:rtl w:val="0"/>
        </w:rPr>
        <w:t xml:space="preserve">,</w:t>
      </w:r>
      <w:hyperlink r:id="rId16">
        <w:r w:rsidDel="00000000" w:rsidR="00000000" w:rsidRPr="00000000">
          <w:rPr>
            <w:sz w:val="18"/>
            <w:szCs w:val="18"/>
            <w:rtl w:val="0"/>
          </w:rPr>
          <w:t xml:space="preserve"> N.G. Vildanov</w:t>
        </w:r>
      </w:hyperlink>
      <w:r w:rsidDel="00000000" w:rsidR="00000000" w:rsidRPr="00000000">
        <w:rPr>
          <w:sz w:val="18"/>
          <w:szCs w:val="18"/>
          <w:rtl w:val="0"/>
        </w:rPr>
        <w:t xml:space="preserve">,</w:t>
      </w:r>
      <w:hyperlink r:id="rId17">
        <w:r w:rsidDel="00000000" w:rsidR="00000000" w:rsidRPr="00000000">
          <w:rPr>
            <w:sz w:val="18"/>
            <w:szCs w:val="18"/>
            <w:rtl w:val="0"/>
          </w:rPr>
          <w:t xml:space="preserve"> M.I. Vildanova</w:t>
        </w:r>
      </w:hyperlink>
      <w:r w:rsidDel="00000000" w:rsidR="00000000" w:rsidRPr="00000000">
        <w:rPr>
          <w:sz w:val="18"/>
          <w:szCs w:val="18"/>
          <w:rtl w:val="0"/>
        </w:rPr>
        <w:t xml:space="preserve">,</w:t>
      </w:r>
      <w:hyperlink r:id="rId18">
        <w:r w:rsidDel="00000000" w:rsidR="00000000" w:rsidRPr="00000000">
          <w:rPr>
            <w:sz w:val="18"/>
            <w:szCs w:val="18"/>
            <w:rtl w:val="0"/>
          </w:rPr>
          <w:t xml:space="preserve"> V.V. Zhukov</w:t>
        </w:r>
      </w:hyperlink>
      <w:r w:rsidDel="00000000" w:rsidR="00000000" w:rsidRPr="00000000">
        <w:rPr>
          <w:sz w:val="18"/>
          <w:szCs w:val="18"/>
          <w:rtl w:val="0"/>
        </w:rPr>
        <w:t xml:space="preserve">,</w:t>
      </w:r>
      <w:hyperlink r:id="rId19">
        <w:r w:rsidDel="00000000" w:rsidR="00000000" w:rsidRPr="00000000">
          <w:rPr>
            <w:sz w:val="18"/>
            <w:szCs w:val="18"/>
            <w:rtl w:val="0"/>
          </w:rPr>
          <w:t xml:space="preserve"> K.A. Baigarin</w:t>
        </w:r>
      </w:hyperlink>
      <w:r w:rsidDel="00000000" w:rsidR="00000000" w:rsidRPr="00000000">
        <w:rPr>
          <w:sz w:val="18"/>
          <w:szCs w:val="18"/>
          <w:rtl w:val="0"/>
        </w:rPr>
        <w:t xml:space="preserve">,</w:t>
      </w:r>
      <w:hyperlink r:id="rId20">
        <w:r w:rsidDel="00000000" w:rsidR="00000000" w:rsidRPr="00000000">
          <w:rPr>
            <w:sz w:val="18"/>
            <w:szCs w:val="18"/>
            <w:rtl w:val="0"/>
          </w:rPr>
          <w:t xml:space="preserve"> D. Beznosko</w:t>
        </w:r>
      </w:hyperlink>
      <w:r w:rsidDel="00000000" w:rsidR="00000000" w:rsidRPr="00000000">
        <w:rPr>
          <w:sz w:val="18"/>
          <w:szCs w:val="18"/>
          <w:rtl w:val="0"/>
        </w:rPr>
        <w:t xml:space="preserve">,</w:t>
      </w:r>
      <w:hyperlink r:id="rId21">
        <w:r w:rsidDel="00000000" w:rsidR="00000000" w:rsidRPr="00000000">
          <w:rPr>
            <w:sz w:val="18"/>
            <w:szCs w:val="18"/>
            <w:rtl w:val="0"/>
          </w:rPr>
          <w:t xml:space="preserve"> T.X. Sadykov</w:t>
        </w:r>
      </w:hyperlink>
      <w:r w:rsidDel="00000000" w:rsidR="00000000" w:rsidRPr="00000000">
        <w:rPr>
          <w:sz w:val="18"/>
          <w:szCs w:val="18"/>
          <w:rtl w:val="0"/>
        </w:rPr>
        <w:t xml:space="preserve">,</w:t>
      </w:r>
      <w:hyperlink r:id="rId22">
        <w:r w:rsidDel="00000000" w:rsidR="00000000" w:rsidRPr="00000000">
          <w:rPr>
            <w:sz w:val="18"/>
            <w:szCs w:val="18"/>
            <w:rtl w:val="0"/>
          </w:rPr>
          <w:t xml:space="preserve"> N.S Suleymenov</w:t>
        </w:r>
      </w:hyperlink>
      <w:r w:rsidDel="00000000" w:rsidR="00000000" w:rsidRPr="00000000">
        <w:rPr>
          <w:sz w:val="18"/>
          <w:szCs w:val="18"/>
          <w:rtl w:val="0"/>
        </w:rPr>
        <w:t xml:space="preserve">. arXiv:physics.ins-det/1605.05179</w:t>
      </w:r>
    </w:p>
    <w:p w:rsidR="00000000" w:rsidDel="00000000" w:rsidP="00000000" w:rsidRDefault="00000000" w:rsidRPr="00000000" w14:paraId="00000024">
      <w:pPr>
        <w:numPr>
          <w:ilvl w:val="0"/>
          <w:numId w:val="1"/>
        </w:numPr>
        <w:ind w:left="928" w:hanging="360"/>
        <w:rPr>
          <w:sz w:val="18"/>
          <w:szCs w:val="18"/>
        </w:rPr>
      </w:pPr>
      <w:r w:rsidDel="00000000" w:rsidR="00000000" w:rsidRPr="00000000">
        <w:rPr>
          <w:sz w:val="18"/>
          <w:szCs w:val="18"/>
          <w:rtl w:val="0"/>
        </w:rPr>
        <w:t xml:space="preserve">Probing Fundamental Physics With Multi-Modal Cosmic Ray Events. D.Beznosko,K.Baigarin,R.Beisembaev,E.Beisembaeva,E.Gladysz-Dziadu,V.Ryabov,T.Sadykov,S.Shaulov, V.Siltsev,A.Stepanov,M.Vildanova,A.Zhitnitsky,V.Zhukov. arXiv:2204.04045v4</w:t>
      </w:r>
    </w:p>
    <w:p w:rsidR="00000000" w:rsidDel="00000000" w:rsidP="00000000" w:rsidRDefault="00000000" w:rsidRPr="00000000" w14:paraId="00000025">
      <w:pPr>
        <w:numPr>
          <w:ilvl w:val="0"/>
          <w:numId w:val="1"/>
        </w:numPr>
        <w:ind w:left="928" w:hanging="360"/>
        <w:rPr>
          <w:sz w:val="18"/>
          <w:szCs w:val="18"/>
        </w:rPr>
      </w:pPr>
      <w:r w:rsidDel="00000000" w:rsidR="00000000" w:rsidRPr="00000000">
        <w:rPr>
          <w:sz w:val="18"/>
          <w:szCs w:val="18"/>
          <w:rtl w:val="0"/>
        </w:rPr>
        <w:t xml:space="preserve">Extensive Air Shower Simulation with CORSIKA: A User’s Guide. D. Heck and T. Pierog.</w:t>
      </w:r>
    </w:p>
    <w:p w:rsidR="00000000" w:rsidDel="00000000" w:rsidP="00000000" w:rsidRDefault="00000000" w:rsidRPr="00000000" w14:paraId="00000026">
      <w:pPr>
        <w:ind w:left="928" w:firstLine="0"/>
        <w:rPr>
          <w:sz w:val="18"/>
          <w:szCs w:val="18"/>
          <w:u w:val="none"/>
        </w:rPr>
      </w:pPr>
      <w:r w:rsidDel="00000000" w:rsidR="00000000" w:rsidRPr="00000000">
        <w:rPr>
          <w:rtl w:val="0"/>
        </w:rPr>
      </w:r>
    </w:p>
    <w:sectPr>
      <w:footerReference r:id="rId23" w:type="default"/>
      <w:footerReference r:id="rId24" w:type="even"/>
      <w:pgSz w:h="16838" w:w="11906" w:orient="portrait"/>
      <w:pgMar w:bottom="1247" w:top="1134" w:left="1559.0551181102362" w:right="136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Bdr>
        <w:top w:space="0" w:sz="0" w:val="nil"/>
        <w:left w:space="0" w:sz="0" w:val="nil"/>
        <w:bottom w:space="0" w:sz="0" w:val="nil"/>
        <w:right w:space="0" w:sz="0" w:val="nil"/>
        <w:between w:space="0" w:sz="0" w:val="nil"/>
      </w:pBdr>
      <w:ind w:right="360"/>
      <w:rPr>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right="360"/>
      <w:rPr>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28" w:hanging="360"/>
      </w:pPr>
      <w:rPr>
        <w:i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a" w:customStyle="1">
    <w:name w:val="Обычный"/>
    <w:pPr>
      <w:suppressAutoHyphens w:val="1"/>
      <w:spacing w:line="1" w:lineRule="atLeast"/>
      <w:ind w:left="-1" w:leftChars="-1" w:hanging="1" w:hangingChars="1"/>
      <w:textDirection w:val="btLr"/>
      <w:textAlignment w:val="top"/>
      <w:outlineLvl w:val="0"/>
    </w:pPr>
    <w:rPr>
      <w:position w:val="-1"/>
      <w:sz w:val="24"/>
      <w:szCs w:val="24"/>
      <w:lang w:eastAsia="ru-RU" w:val="ru-RU"/>
    </w:rPr>
  </w:style>
  <w:style w:type="paragraph" w:styleId="2" w:customStyle="1">
    <w:name w:val="Заголовок 2"/>
    <w:basedOn w:val="a"/>
    <w:next w:val="a"/>
    <w:pPr>
      <w:keepNext w:val="1"/>
      <w:pageBreakBefore w:val="1"/>
      <w:spacing w:after="120" w:line="360" w:lineRule="auto"/>
      <w:ind w:firstLine="709"/>
      <w:jc w:val="center"/>
      <w:outlineLvl w:val="1"/>
    </w:pPr>
    <w:rPr>
      <w:b w:val="1"/>
      <w:bCs w:val="1"/>
      <w:iCs w:val="1"/>
      <w:sz w:val="28"/>
      <w:szCs w:val="28"/>
    </w:rPr>
  </w:style>
  <w:style w:type="character" w:styleId="a0" w:customStyle="1">
    <w:name w:val="Основной шрифт абзаца"/>
    <w:qFormat w:val="1"/>
    <w:rPr>
      <w:w w:val="100"/>
      <w:position w:val="-1"/>
      <w:effect w:val="none"/>
      <w:vertAlign w:val="baseline"/>
      <w:cs w:val="0"/>
      <w:em w:val="none"/>
    </w:rPr>
  </w:style>
  <w:style w:type="table" w:styleId="a1" w:customStyle="1">
    <w:name w:val="Обычная таблица"/>
    <w:qFormat w:val="1"/>
    <w:pPr>
      <w:suppressAutoHyphens w:val="1"/>
      <w:spacing w:line="1" w:lineRule="atLeast"/>
      <w:ind w:left="-1" w:leftChars="-1" w:hanging="1" w:hangingChars="1"/>
      <w:textDirection w:val="btLr"/>
      <w:textAlignment w:val="top"/>
      <w:outlineLvl w:val="0"/>
    </w:pPr>
    <w:rPr>
      <w:position w:val="-1"/>
    </w:rPr>
    <w:tblPr>
      <w:tblInd w:w="0.0" w:type="dxa"/>
      <w:tblCellMar>
        <w:top w:w="0.0" w:type="dxa"/>
        <w:left w:w="108.0" w:type="dxa"/>
        <w:bottom w:w="0.0" w:type="dxa"/>
        <w:right w:w="108.0" w:type="dxa"/>
      </w:tblCellMar>
    </w:tblPr>
  </w:style>
  <w:style w:type="numbering" w:styleId="a2" w:customStyle="1">
    <w:name w:val="Нет списка"/>
    <w:qFormat w:val="1"/>
  </w:style>
  <w:style w:type="character" w:styleId="a3" w:customStyle="1">
    <w:name w:val="Выделение"/>
    <w:rPr>
      <w:i w:val="1"/>
      <w:iCs w:val="1"/>
      <w:w w:val="100"/>
      <w:position w:val="-1"/>
      <w:effect w:val="none"/>
      <w:vertAlign w:val="baseline"/>
      <w:cs w:val="0"/>
      <w:em w:val="none"/>
    </w:rPr>
  </w:style>
  <w:style w:type="character" w:styleId="apple-converted-space" w:customStyle="1">
    <w:name w:val="apple-converted-space"/>
    <w:basedOn w:val="a0"/>
    <w:rPr>
      <w:w w:val="100"/>
      <w:position w:val="-1"/>
      <w:effect w:val="none"/>
      <w:vertAlign w:val="baseline"/>
      <w:cs w:val="0"/>
      <w:em w:val="none"/>
    </w:rPr>
  </w:style>
  <w:style w:type="character" w:styleId="a4" w:customStyle="1">
    <w:name w:val="Гиперссылка"/>
    <w:rPr>
      <w:color w:val="0000ff"/>
      <w:w w:val="100"/>
      <w:position w:val="-1"/>
      <w:u w:val="single"/>
      <w:effect w:val="none"/>
      <w:vertAlign w:val="baseline"/>
      <w:cs w:val="0"/>
      <w:em w:val="none"/>
    </w:rPr>
  </w:style>
  <w:style w:type="paragraph" w:styleId="a5" w:customStyle="1">
    <w:name w:val="Без интервала"/>
    <w:pPr>
      <w:suppressAutoHyphens w:val="1"/>
      <w:spacing w:line="1" w:lineRule="atLeast"/>
      <w:ind w:left="-1" w:leftChars="-1" w:hanging="1" w:hangingChars="1"/>
      <w:textDirection w:val="btLr"/>
      <w:textAlignment w:val="top"/>
      <w:outlineLvl w:val="0"/>
    </w:pPr>
    <w:rPr>
      <w:rFonts w:ascii="Calibri" w:hAnsi="Calibri"/>
      <w:position w:val="-1"/>
      <w:sz w:val="22"/>
      <w:szCs w:val="22"/>
      <w:lang w:eastAsia="en-US" w:val="ru-RU"/>
    </w:rPr>
  </w:style>
  <w:style w:type="character" w:styleId="a6" w:customStyle="1">
    <w:name w:val="Без интервала Знак"/>
    <w:rPr>
      <w:rFonts w:ascii="Calibri" w:hAnsi="Calibri"/>
      <w:w w:val="100"/>
      <w:position w:val="-1"/>
      <w:sz w:val="22"/>
      <w:szCs w:val="22"/>
      <w:effect w:val="none"/>
      <w:vertAlign w:val="baseline"/>
      <w:cs w:val="0"/>
      <w:em w:val="none"/>
      <w:lang w:bidi="ar-SA" w:eastAsia="en-US" w:val="ru-RU"/>
    </w:rPr>
  </w:style>
  <w:style w:type="character" w:styleId="20" w:customStyle="1">
    <w:name w:val="Заголовок 2 Знак"/>
    <w:rPr>
      <w:b w:val="1"/>
      <w:bCs w:val="1"/>
      <w:iCs w:val="1"/>
      <w:w w:val="100"/>
      <w:position w:val="-1"/>
      <w:sz w:val="28"/>
      <w:szCs w:val="28"/>
      <w:effect w:val="none"/>
      <w:vertAlign w:val="baseline"/>
      <w:cs w:val="0"/>
      <w:em w:val="none"/>
      <w:lang w:bidi="ar-SA" w:eastAsia="ru-RU" w:val="ru-RU"/>
    </w:rPr>
  </w:style>
  <w:style w:type="paragraph" w:styleId="a7" w:customStyle="1">
    <w:name w:val="Обычный (веб)"/>
    <w:basedOn w:val="a"/>
    <w:qFormat w:val="1"/>
    <w:pPr>
      <w:spacing w:after="100" w:afterAutospacing="1" w:before="100" w:beforeAutospacing="1"/>
    </w:pPr>
  </w:style>
  <w:style w:type="paragraph" w:styleId="a8" w:customStyle="1">
    <w:name w:val="Нижний колонтитул"/>
    <w:basedOn w:val="a"/>
  </w:style>
  <w:style w:type="character" w:styleId="a9" w:customStyle="1">
    <w:name w:val="Номер страницы"/>
    <w:basedOn w:val="a0"/>
    <w:rPr>
      <w:w w:val="100"/>
      <w:position w:val="-1"/>
      <w:effect w:val="none"/>
      <w:vertAlign w:val="baseline"/>
      <w:cs w:val="0"/>
      <w:em w:val="none"/>
    </w:rPr>
  </w:style>
  <w:style w:type="character" w:styleId="aa" w:customStyle="1">
    <w:name w:val="Замещающий текст"/>
    <w:rPr>
      <w:color w:val="808080"/>
      <w:w w:val="100"/>
      <w:position w:val="-1"/>
      <w:effect w:val="none"/>
      <w:vertAlign w:val="baseline"/>
      <w:cs w:val="0"/>
      <w:em w:val="none"/>
    </w:rPr>
  </w:style>
  <w:style w:type="paragraph" w:styleId="ab" w:customStyle="1">
    <w:name w:val="Абзац списка"/>
    <w:basedOn w:val="a"/>
    <w:pPr>
      <w:ind w:left="720"/>
      <w:contextualSpacing w:val="1"/>
    </w:pPr>
  </w:style>
  <w:style w:type="paragraph" w:styleId="ac" w:customStyle="1">
    <w:name w:val="Текст выноски"/>
    <w:basedOn w:val="a"/>
    <w:rPr>
      <w:rFonts w:ascii="Tahoma" w:hAnsi="Tahoma"/>
      <w:sz w:val="16"/>
      <w:szCs w:val="16"/>
      <w:lang/>
    </w:rPr>
  </w:style>
  <w:style w:type="character" w:styleId="ad" w:customStyle="1">
    <w:name w:val="Текст выноски Знак"/>
    <w:rPr>
      <w:rFonts w:ascii="Tahoma" w:cs="Tahoma" w:hAnsi="Tahoma"/>
      <w:w w:val="100"/>
      <w:position w:val="-1"/>
      <w:sz w:val="16"/>
      <w:szCs w:val="16"/>
      <w:effect w:val="none"/>
      <w:vertAlign w:val="baseline"/>
      <w:cs w:val="0"/>
      <w:em w:val="none"/>
    </w:rPr>
  </w:style>
  <w:style w:type="paragraph" w:styleId="ae" w:customStyle="1">
    <w:name w:val="Верхний колонтитул"/>
    <w:basedOn w:val="a"/>
    <w:qFormat w:val="1"/>
    <w:pPr>
      <w:tabs>
        <w:tab w:val="center" w:pos="4677"/>
        <w:tab w:val="right" w:pos="9355"/>
      </w:tabs>
    </w:pPr>
  </w:style>
  <w:style w:type="character" w:styleId="af" w:customStyle="1">
    <w:name w:val="Верхний колонтитул Знак"/>
    <w:basedOn w:val="a0"/>
    <w:rPr>
      <w:w w:val="100"/>
      <w:position w:val="-1"/>
      <w:sz w:val="24"/>
      <w:szCs w:val="24"/>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f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arxiv.org/search/physics?searchtype=author&amp;query=Beznosko,+D" TargetMode="External"/><Relationship Id="rId11" Type="http://schemas.openxmlformats.org/officeDocument/2006/relationships/hyperlink" Target="https://arxiv.org/search/physics?searchtype=author&amp;query=Beisembaev,+R" TargetMode="External"/><Relationship Id="rId22" Type="http://schemas.openxmlformats.org/officeDocument/2006/relationships/hyperlink" Target="https://arxiv.org/search/physics?searchtype=author&amp;query=Suleymenov,+N" TargetMode="External"/><Relationship Id="rId10" Type="http://schemas.openxmlformats.org/officeDocument/2006/relationships/image" Target="media/image1.png"/><Relationship Id="rId21" Type="http://schemas.openxmlformats.org/officeDocument/2006/relationships/hyperlink" Target="https://arxiv.org/search/physics?searchtype=author&amp;query=Sadykov,+T" TargetMode="External"/><Relationship Id="rId13" Type="http://schemas.openxmlformats.org/officeDocument/2006/relationships/hyperlink" Target="https://arxiv.org/search/physics?searchtype=author&amp;query=Dalkarov,+O" TargetMode="External"/><Relationship Id="rId24" Type="http://schemas.openxmlformats.org/officeDocument/2006/relationships/footer" Target="footer2.xml"/><Relationship Id="rId12" Type="http://schemas.openxmlformats.org/officeDocument/2006/relationships/hyperlink" Target="https://arxiv.org/search/physics?searchtype=author&amp;query=Beisembaeva,+E"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arxiv.org/search/physics?searchtype=author&amp;query=Stepanov,+A" TargetMode="External"/><Relationship Id="rId14" Type="http://schemas.openxmlformats.org/officeDocument/2006/relationships/hyperlink" Target="https://arxiv.org/search/physics?searchtype=author&amp;query=Ryabov,+V" TargetMode="External"/><Relationship Id="rId17" Type="http://schemas.openxmlformats.org/officeDocument/2006/relationships/hyperlink" Target="https://arxiv.org/search/physics?searchtype=author&amp;query=Vildanova,+M" TargetMode="External"/><Relationship Id="rId16" Type="http://schemas.openxmlformats.org/officeDocument/2006/relationships/hyperlink" Target="https://arxiv.org/search/physics?searchtype=author&amp;query=Vildanov,+N" TargetMode="External"/><Relationship Id="rId5" Type="http://schemas.openxmlformats.org/officeDocument/2006/relationships/styles" Target="styles.xml"/><Relationship Id="rId19" Type="http://schemas.openxmlformats.org/officeDocument/2006/relationships/hyperlink" Target="https://arxiv.org/search/physics?searchtype=author&amp;query=Baigarin,+K" TargetMode="External"/><Relationship Id="rId6" Type="http://schemas.openxmlformats.org/officeDocument/2006/relationships/customXml" Target="../customXML/item1.xml"/><Relationship Id="rId18" Type="http://schemas.openxmlformats.org/officeDocument/2006/relationships/hyperlink" Target="https://arxiv.org/search/physics?searchtype=author&amp;query=Zhukov,+V" TargetMode="External"/><Relationship Id="rId7" Type="http://schemas.openxmlformats.org/officeDocument/2006/relationships/hyperlink" Target="mailto:guliaeva.vv19@physics.msu.ru"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5OgO5bgyx4CA6h1uMqOJiKtsZw==">CgMxLjAaFAoBMBIPCg0IB0IJEgdHdW5nc3VoGhQKATESDwoNCAdCCRIHR3VuZ3N1aDgAciExRkhXTU9WRHhhZHpqSV9LN0pyVGlWRkxhLUxsSUFGSzI=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2024-02-16T11:58:00Z</dcterms:created>
  <dc:creator>PR</dc:creator>
</cp:coreProperties>
</file>