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1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Исследование из первых принципов процесса сегрегации примесей никеля в структуре LSNT перовскита</w:t>
      </w:r>
    </w:p>
    <w:p>
      <w:pPr>
        <w:pStyle w:val="LOnormal1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Фаттахов А.Ф.¹, Бажанов Д.И.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vertAlign w:val="superscript"/>
        </w:rPr>
        <w:t>2</w:t>
      </w:r>
    </w:p>
    <w:p>
      <w:pPr>
        <w:pStyle w:val="LOnormal1"/>
        <w:spacing w:lineRule="auto" w:line="240" w:before="0" w:after="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olor w:val="000000"/>
          <w:sz w:val="24"/>
          <w:szCs w:val="24"/>
          <w:highlight w:val="white"/>
          <w:u w:val="none"/>
          <w:vertAlign w:val="superscript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4"/>
          <w:szCs w:val="24"/>
          <w:highlight w:val="white"/>
          <w:u w:val="none"/>
        </w:rPr>
        <w:t xml:space="preserve">студент,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olor w:val="000000"/>
          <w:sz w:val="24"/>
          <w:szCs w:val="24"/>
          <w:highlight w:val="white"/>
          <w:u w:val="none"/>
          <w:vertAlign w:val="superscript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доцент</w:t>
      </w:r>
    </w:p>
    <w:p>
      <w:pPr>
        <w:pStyle w:val="LOnormal1"/>
        <w:shd w:val="clear" w:fill="FFFFFF"/>
        <w:spacing w:lineRule="auto" w:line="240" w:before="0" w:after="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4"/>
          <w:szCs w:val="24"/>
          <w:highlight w:val="white"/>
        </w:rPr>
        <w:t>Московский государственный университет имени М.В.Ломоносова, </w:t>
        <w:br/>
        <w:t>физический факультет, Москва, Россия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397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</w:r>
    </w:p>
    <w:p>
      <w:pPr>
        <w:pStyle w:val="LOnormal1"/>
        <w:widowControl/>
        <w:shd w:val="clear" w:fill="FFFFFF"/>
        <w:suppressAutoHyphens w:val="true"/>
        <w:bidi w:val="0"/>
        <w:spacing w:lineRule="auto" w:line="240" w:before="0" w:after="0"/>
        <w:ind w:left="0" w:right="0" w:firstLine="39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 настоящее время наблюдается большой интерес к соединениям со структурой перовскита. В частности, они используются для изготовления компонентов твердооксидных топливных элементов из-за своих электропроводных свойств. В данной работе исследуется соединение на основе титаната стронция 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La</w:t>
      </w:r>
      <w:r>
        <w:rPr>
          <w:rFonts w:eastAsia="Times New Roman" w:cs="Times New Roman" w:ascii="Times New Roman" w:hAnsi="Times New Roman"/>
          <w:i w:val="false"/>
          <w:color w:val="000000"/>
          <w:sz w:val="24"/>
          <w:szCs w:val="24"/>
          <w:vertAlign w:val="subscript"/>
        </w:rPr>
        <w:t>0.2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Sr</w:t>
      </w:r>
      <w:r>
        <w:rPr>
          <w:rFonts w:eastAsia="Times New Roman" w:cs="Times New Roman" w:ascii="Times New Roman" w:hAnsi="Times New Roman"/>
          <w:i w:val="false"/>
          <w:color w:val="000000"/>
          <w:sz w:val="24"/>
          <w:szCs w:val="24"/>
          <w:vertAlign w:val="subscript"/>
        </w:rPr>
        <w:t>0.7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Ni</w:t>
      </w:r>
      <w:r>
        <w:rPr>
          <w:rFonts w:eastAsia="Times New Roman" w:cs="Times New Roman" w:ascii="Times New Roman" w:hAnsi="Times New Roman"/>
          <w:i w:val="false"/>
          <w:color w:val="000000"/>
          <w:sz w:val="24"/>
          <w:szCs w:val="24"/>
          <w:vertAlign w:val="subscript"/>
        </w:rPr>
        <w:t>0.1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Ti</w:t>
      </w:r>
      <w:r>
        <w:rPr>
          <w:rFonts w:eastAsia="Times New Roman" w:cs="Times New Roman" w:ascii="Times New Roman" w:hAnsi="Times New Roman"/>
          <w:i w:val="false"/>
          <w:color w:val="000000"/>
          <w:sz w:val="24"/>
          <w:szCs w:val="24"/>
          <w:vertAlign w:val="subscript"/>
        </w:rPr>
        <w:t>0.9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i w:val="false"/>
          <w:color w:val="000000"/>
          <w:sz w:val="24"/>
          <w:szCs w:val="24"/>
          <w:vertAlign w:val="subscript"/>
        </w:rPr>
        <w:t>2.9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(LSNT), в котором наблюдается сегрегация частиц никеля из кристаллического массива к поверхности электрода и формирование каталитических кластеров [1]. Благодаря этому возрастает интенсивность химических реакций окисления в топливном элементе. Предполагается, что процесс сегрегации обусловлен наличием структурных дефектов перовскита (кислородные вакансии, антифазные границы и дислокации), которые приводят к активной кластеризации примесных атомов никеля вблизи границ дефектов структуры. Рассматриваемые модели антифазной границы и дислокационного ядра основаны на экспериментальных данных электронной микроскопии (STEM) [2]. Целью работы является исследование сегрегации примесей никеля вблизи структурных дефектов в соединении LSNT 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9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Процесс сегрегации рассматривается в направлении TiO-терминированной поверхности (001) , TiO-терминированной антифазной границы и к дислокационному ядру, формирование которых наблюдается в эксперименте 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</w:rPr>
        <w:t>[2].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Для исследования проводятся расчеты энергии сегрегации, которая определяется как: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62"/>
        <w:gridCol w:w="1021"/>
      </w:tblGrid>
      <w:tr>
        <w:trPr>
          <w:tblHeader w:val="true"/>
        </w:trPr>
        <w:tc>
          <w:tcPr>
            <w:tcW w:w="8162" w:type="dxa"/>
            <w:tcBorders/>
            <w:vAlign w:val="center"/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seg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Defect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Bulk</m:t>
                    </m:r>
                  </m:sub>
                </m:sSub>
              </m:oMath>
            </m:oMathPara>
          </w:p>
        </w:tc>
        <w:tc>
          <w:tcPr>
            <w:tcW w:w="1021" w:type="dxa"/>
            <w:tcBorders/>
            <w:vAlign w:val="center"/>
          </w:tcPr>
          <w:p>
            <w:pPr>
              <w:pStyle w:val="Style22"/>
              <w:widowControl w:val="false"/>
              <w:jc w:val="right"/>
              <w:rPr/>
            </w:pPr>
            <w:r>
              <w:rPr/>
              <w:t>(1)</w:t>
            </w:r>
          </w:p>
        </w:tc>
      </w:tr>
    </w:tbl>
    <w:p>
      <w:pPr>
        <w:pStyle w:val="LOnormal1"/>
        <w:widowControl/>
        <w:suppressAutoHyphens w:val="true"/>
        <w:bidi w:val="0"/>
        <w:spacing w:lineRule="auto" w:line="240" w:before="0" w:after="0"/>
        <w:ind w:left="0" w:right="0" w:firstLine="39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где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Defect</m:t>
            </m:r>
          </m:sub>
        </m:sSub>
      </m:oMath>
      <w:r>
        <w:rPr>
          <w:rFonts w:eastAsia="Times New Roman" w:cs="Times New Roman" w:ascii="Times New Roman" w:hAnsi="Times New Roman"/>
          <w:sz w:val="24"/>
          <w:szCs w:val="24"/>
        </w:rPr>
        <w:t xml:space="preserve"> - полная энергия системы с примесным атомом на границе дефекта,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Bulk</m:t>
            </m:r>
          </m:sub>
        </m:sSub>
      </m:oMath>
      <w:r>
        <w:rPr>
          <w:rFonts w:eastAsia="Times New Roman" w:cs="Times New Roman" w:ascii="Times New Roman" w:hAnsi="Times New Roman"/>
          <w:sz w:val="24"/>
          <w:szCs w:val="24"/>
        </w:rPr>
        <w:t xml:space="preserve"> - полная энергия системы с примесным атомом в объеме. По величине энергии сегрегации можно судить о том, какая конфигурация более стабильна. Расчет энергии системы в рамках теории функционала плотности проводится путем решения уравнений Кона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</w:rPr>
        <w:t>Шэма по формуле: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62"/>
        <w:gridCol w:w="1021"/>
      </w:tblGrid>
      <w:tr>
        <w:trPr>
          <w:tblHeader w:val="true"/>
        </w:trPr>
        <w:tc>
          <w:tcPr>
            <w:tcW w:w="8162" w:type="dxa"/>
            <w:tcBorders/>
            <w:vAlign w:val="center"/>
          </w:tcPr>
          <w:p>
            <w:pPr>
              <w:pStyle w:val="Style22"/>
              <w:widowControl w:val="false"/>
              <w:jc w:val="center"/>
              <w:rPr/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sSub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полн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</m:t>
                </m:r>
                <m:nary>
                  <m:naryPr>
                    <m:chr m:val="∑"/>
                    <m:supHide m:val="1"/>
                  </m:naryPr>
                  <m:sub>
                    <m:r>
                      <w:rPr>
                        <w:rFonts w:ascii="Cambria Math" w:hAnsi="Cambria Math"/>
                      </w:rPr>
                      <m:t xml:space="preserve">i</m:t>
                    </m:r>
                  </m:sub>
                  <m:sup/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i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 xml:space="preserve">−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2</m:t>
                    </m:r>
                  </m:den>
                </m:f>
                <m:nary>
                  <m:naryPr>
                    <m:chr m:val="∫"/>
                    <m:subHide m:val="1"/>
                    <m:supHide m:val="1"/>
                  </m:naryPr>
                  <m:sub/>
                  <m:sup/>
                  <m:e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r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  <m:d>
                          <m:dPr>
                            <m:begChr m:val="("/>
                            <m:endChr m:val=")"/>
                          </m:dPr>
                          <m:e>
                            <m:sSup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'</m:t>
                                </m:r>
                              </m:sup>
                            </m:sSup>
                          </m:e>
                        </m:d>
                      </m:num>
                      <m:den>
                        <m:d>
                          <m:dPr>
                            <m:begChr m:val="|"/>
                            <m:endChr m:val="|"/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r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−</m:t>
                            </m:r>
                            <m:sSup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r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'</m:t>
                                </m:r>
                              </m:sup>
                            </m:sSup>
                          </m:e>
                        </m:d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 xml:space="preserve">d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'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dr</m:t>
                </m:r>
                <m:r>
                  <w:rPr>
                    <w:rFonts w:ascii="Cambria Math" w:hAnsi="Cambria Math"/>
                  </w:rPr>
                  <m:t xml:space="preserve">+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xc</m:t>
                    </m:r>
                  </m:sub>
                </m:sSub>
                <m:d>
                  <m:dPr>
                    <m:begChr m:val="["/>
                    <m:endChr m:val="]"/>
                  </m:dPr>
                  <m:e>
                    <m:r>
                      <w:rPr>
                        <w:rFonts w:ascii="Cambria Math" w:hAnsi="Cambria Math"/>
                      </w:rPr>
                      <m:t xml:space="preserve">n</m:t>
                    </m:r>
                  </m:e>
                </m:d>
                <m:r>
                  <w:rPr>
                    <w:rFonts w:ascii="Cambria Math" w:hAnsi="Cambria Math"/>
                  </w:rPr>
                  <m:t xml:space="preserve">−</m:t>
                </m:r>
                <m:nary>
                  <m:naryPr>
                    <m:chr m:val="∫"/>
                    <m:subHide m:val="1"/>
                    <m:supHide m:val="1"/>
                  </m:naryPr>
                  <m:sub/>
                  <m:sup/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xc</m:t>
                        </m:r>
                      </m:sub>
                    </m:sSub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n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n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r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dr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,</m:t>
                </m:r>
              </m:oMath>
            </m:oMathPara>
          </w:p>
        </w:tc>
        <w:tc>
          <w:tcPr>
            <w:tcW w:w="1021" w:type="dxa"/>
            <w:tcBorders/>
            <w:vAlign w:val="center"/>
          </w:tcPr>
          <w:p>
            <w:pPr>
              <w:pStyle w:val="Style22"/>
              <w:widowControl w:val="false"/>
              <w:jc w:val="right"/>
              <w:rPr/>
            </w:pPr>
            <w:r>
              <w:rPr/>
              <w:t>(2)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9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где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ε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</m:oMath>
      <w:r>
        <w:rPr>
          <w:rFonts w:eastAsia="Times New Roman" w:cs="Times New Roman" w:ascii="Times New Roman" w:hAnsi="Times New Roman"/>
          <w:sz w:val="24"/>
          <w:szCs w:val="24"/>
        </w:rPr>
        <w:t xml:space="preserve">— действительные собственные значения гамильтониана Кона — Шэма,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xc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r</m:t>
            </m:r>
          </m:e>
        </m:d>
      </m:oMath>
      <w:r>
        <w:rPr>
          <w:rFonts w:eastAsia="Times New Roman" w:cs="Times New Roman" w:ascii="Times New Roman" w:hAnsi="Times New Roman"/>
          <w:sz w:val="24"/>
          <w:szCs w:val="24"/>
        </w:rPr>
        <w:t xml:space="preserve"> — функциональная производная,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xc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–  </w:t>
      </w:r>
      <w:r>
        <w:rPr>
          <w:rFonts w:eastAsia="Times New Roman" w:cs="Times New Roman" w:ascii="Times New Roman" w:hAnsi="Times New Roman"/>
          <w:sz w:val="24"/>
          <w:szCs w:val="24"/>
        </w:rPr>
        <w:t>обменно-корреляционная энергия. Для расчетов полной энергии систем использовался программный пакет VASP [3]. В результате проведенных расчетов при различных конфигурациях примесей никеля в структуре LSNT было установлено, что энергетически выгоден процесс сегрегации примесных атомов к поверхности, противофазной границе и ядру дислокации. Дополнительные расчеты с двумя примесными атомами никеля показывают, что также выгодна димеризация примесных атомов на границах дефектов, что свидетельствует о наличии тенденции к началу кластеризации атомов никеля. Кроме того, в ходе расчетов было установлено, что процесс сегрегации примесей связан с перераспределением зарядов атомов вблизи дефектов структуры. Таким образом, обнаружена тенденция к сегрегации и кластеризации примесей никеля на границах дефектов исследуемой структуры. Полученные результаты находятся в согласии с данными экспериментальных наблюдений.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97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Исследование выполнено в рамках государственного заказа МГУ имени М.В. Ломоносова.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spacing w:lineRule="auto" w:line="240" w:before="85" w:after="0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Литература</w:t>
      </w:r>
    </w:p>
    <w:p>
      <w:pPr>
        <w:pStyle w:val="Normal"/>
        <w:pageBreakBefore w:val="false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1. Kim K. J., et al. Facet-dependent in situ growth of nanoparticles in epitaxial thin films: the role of interfacial energy // J. Am. Chem. Soc. 2019. V. 141. P. 7509–7517.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2. Han H., et al. Anti-phase boundary accelerated exsolution of nanoparticles in non-stoichiometric perovskite thin films // Nat. Commun. 2022. V. 13.  P. 6682.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3. Kresse G., et al. Efficient iterative schemes for ab initio total-energy calculations using a plane-wave basis set // Phys. Rev. B 1996. V. 54. P. 11169–11186.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eastAsia="Times New Roman" w:cs="Times New Roman"/>
          <w:b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pageBreakBefore w:val="false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sectPr>
      <w:type w:val="nextPage"/>
      <w:pgSz w:w="11906" w:h="16838"/>
      <w:pgMar w:left="1361" w:right="1361" w:gutter="0" w:header="0" w:top="1134" w:footer="0" w:bottom="125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0048f"/>
    <w:pPr>
      <w:widowControl/>
      <w:suppressAutoHyphens w:val="true"/>
      <w:bidi w:val="0"/>
      <w:spacing w:lineRule="auto" w:line="276" w:before="0" w:after="200"/>
      <w:ind w:firstLine="397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rsid w:val="00cd27e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cd27e5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rsid w:val="00cd27e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d01f42"/>
    <w:rPr>
      <w:color w:val="808080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8a4167"/>
    <w:rPr/>
  </w:style>
  <w:style w:type="character" w:styleId="Style10" w:customStyle="1">
    <w:name w:val="Нижний колонтитул Знак"/>
    <w:basedOn w:val="DefaultParagraphFont"/>
    <w:uiPriority w:val="99"/>
    <w:qFormat/>
    <w:rsid w:val="008a4167"/>
    <w:rPr/>
  </w:style>
  <w:style w:type="character" w:styleId="Style11">
    <w:name w:val="Hyperlink"/>
    <w:basedOn w:val="DefaultParagraphFont"/>
    <w:uiPriority w:val="99"/>
    <w:unhideWhenUsed/>
    <w:rsid w:val="000f2db0"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Droid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ind w:firstLine="397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7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BalloonText">
    <w:name w:val="Balloon Text"/>
    <w:basedOn w:val="Normal"/>
    <w:uiPriority w:val="99"/>
    <w:semiHidden/>
    <w:unhideWhenUsed/>
    <w:qFormat/>
    <w:rsid w:val="00cd27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qFormat/>
    <w:rsid w:val="00cd27e5"/>
    <w:pPr/>
    <w:rPr/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rsid w:val="008a4167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rsid w:val="008a4167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d5163"/>
    <w:pPr>
      <w:spacing w:before="0" w:after="200"/>
      <w:ind w:left="720" w:firstLine="397"/>
      <w:contextualSpacing/>
    </w:pPr>
    <w:rPr/>
  </w:style>
  <w:style w:type="paragraph" w:styleId="Caption">
    <w:name w:val="caption"/>
    <w:basedOn w:val="Normal"/>
    <w:next w:val="Normal"/>
    <w:uiPriority w:val="35"/>
    <w:unhideWhenUsed/>
    <w:qFormat/>
    <w:rsid w:val="00c717a6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7c3cf1"/>
    <w:pPr>
      <w:spacing w:lineRule="auto" w:line="240" w:beforeAutospacing="1" w:afterAutospacing="1"/>
      <w:ind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Onormal1">
    <w:name w:val="LO-normal1"/>
    <w:qFormat/>
    <w:pPr>
      <w:widowControl/>
      <w:suppressAutoHyphens w:val="true"/>
      <w:bidi w:val="0"/>
      <w:spacing w:lineRule="auto" w:line="276" w:before="0" w:after="200"/>
      <w:ind w:left="0" w:right="0" w:firstLine="397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22">
    <w:name w:val="Содержимое таблицы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Ksw1hqmOBzXX/3IINajY46wnonA==">AMUW2mXCq5z10C7jy1JE4FrnTzxWCs9dTq7S0ZvHkaUrkYvZuMzD4+KQHye6sfu5Pfg07oRK5k/35KoSOGs1qLLd4xHepS8sJ6h3g4jHk1kW6wNgx1ukQpJq+RHvUrffNdY9UW2+cHNi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925</TotalTime>
  <Application>LibreOffice/7.4.6.2$Linux_X86_64 LibreOffice_project/40$Build-2</Application>
  <AppVersion>15.0000</AppVersion>
  <Pages>2</Pages>
  <Words>443</Words>
  <Characters>3079</Characters>
  <CharactersWithSpaces>3516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2021-09-15T20:06:00Z</dcterms:created>
  <dc:creator>1</dc:creator>
  <dc:description/>
  <dc:language>en-GB</dc:language>
  <cp:lastModifiedBy/>
  <dcterms:modified xsi:type="dcterms:W3CDTF">2025-03-05T17:31:31Z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