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1917" w14:textId="77777777" w:rsidR="00F83637" w:rsidRPr="001E429F" w:rsidRDefault="00F83637" w:rsidP="00F83637">
      <w:pPr>
        <w:pStyle w:val="a3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1E429F">
        <w:rPr>
          <w:b/>
          <w:bCs/>
          <w:sz w:val="24"/>
          <w:szCs w:val="24"/>
        </w:rPr>
        <w:t xml:space="preserve">Гибридный нанофотонный модулятор на основе </w:t>
      </w:r>
      <w:r>
        <w:rPr>
          <w:b/>
          <w:bCs/>
          <w:sz w:val="24"/>
          <w:szCs w:val="24"/>
        </w:rPr>
        <w:t xml:space="preserve">резонансных наночастиц из нитрида кремния и </w:t>
      </w:r>
      <w:r w:rsidRPr="001E429F">
        <w:rPr>
          <w:b/>
          <w:bCs/>
          <w:sz w:val="24"/>
          <w:szCs w:val="24"/>
        </w:rPr>
        <w:t>тонких пленок дихалькогенидов переходных металлов</w:t>
      </w:r>
    </w:p>
    <w:p w14:paraId="4BE7634B" w14:textId="77777777" w:rsidR="00F83637" w:rsidRPr="001E429F" w:rsidRDefault="00F83637" w:rsidP="00F83637">
      <w:pPr>
        <w:pStyle w:val="a3"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  <w:r w:rsidRPr="001E429F">
        <w:rPr>
          <w:b/>
          <w:bCs/>
          <w:i/>
          <w:iCs/>
          <w:sz w:val="24"/>
          <w:szCs w:val="24"/>
        </w:rPr>
        <w:t xml:space="preserve">Кавер </w:t>
      </w:r>
      <w:r>
        <w:rPr>
          <w:b/>
          <w:bCs/>
          <w:i/>
          <w:iCs/>
          <w:sz w:val="24"/>
          <w:szCs w:val="24"/>
        </w:rPr>
        <w:t>А.К.</w:t>
      </w:r>
      <w:r w:rsidRPr="00243263">
        <w:rPr>
          <w:b/>
          <w:bCs/>
          <w:i/>
          <w:iCs/>
          <w:sz w:val="24"/>
          <w:szCs w:val="24"/>
          <w:vertAlign w:val="superscript"/>
        </w:rPr>
        <w:t>1</w:t>
      </w:r>
      <w:r>
        <w:rPr>
          <w:b/>
          <w:bCs/>
          <w:i/>
          <w:iCs/>
          <w:sz w:val="24"/>
          <w:szCs w:val="24"/>
        </w:rPr>
        <w:t>, Шепелев Е.А.</w:t>
      </w:r>
      <w:r w:rsidRPr="00243263">
        <w:rPr>
          <w:b/>
          <w:bCs/>
          <w:i/>
          <w:iCs/>
          <w:sz w:val="24"/>
          <w:szCs w:val="24"/>
          <w:vertAlign w:val="superscript"/>
        </w:rPr>
        <w:t>2</w:t>
      </w:r>
      <w:r>
        <w:rPr>
          <w:b/>
          <w:bCs/>
          <w:i/>
          <w:iCs/>
          <w:sz w:val="24"/>
          <w:szCs w:val="24"/>
        </w:rPr>
        <w:t xml:space="preserve">, </w:t>
      </w:r>
      <w:r w:rsidRPr="003B29ED">
        <w:rPr>
          <w:b/>
          <w:bCs/>
          <w:i/>
          <w:iCs/>
          <w:sz w:val="24"/>
          <w:szCs w:val="24"/>
        </w:rPr>
        <w:t>Ситнянский В.А.</w:t>
      </w:r>
      <w:r w:rsidRPr="00243263">
        <w:rPr>
          <w:b/>
          <w:bCs/>
          <w:i/>
          <w:iCs/>
          <w:sz w:val="24"/>
          <w:szCs w:val="24"/>
          <w:vertAlign w:val="superscript"/>
        </w:rPr>
        <w:t>2</w:t>
      </w:r>
      <w:r>
        <w:rPr>
          <w:b/>
          <w:bCs/>
          <w:i/>
          <w:iCs/>
          <w:sz w:val="24"/>
          <w:szCs w:val="24"/>
        </w:rPr>
        <w:t>, Шорохов А. С.</w:t>
      </w:r>
      <w:r w:rsidRPr="00243263">
        <w:rPr>
          <w:b/>
          <w:bCs/>
          <w:i/>
          <w:iCs/>
          <w:sz w:val="24"/>
          <w:szCs w:val="24"/>
          <w:vertAlign w:val="superscript"/>
        </w:rPr>
        <w:t>2</w:t>
      </w:r>
    </w:p>
    <w:p w14:paraId="06D90938" w14:textId="77777777" w:rsidR="00F83637" w:rsidRPr="009C3630" w:rsidRDefault="00F83637" w:rsidP="00F83637">
      <w:pPr>
        <w:pStyle w:val="a3"/>
        <w:spacing w:line="240" w:lineRule="auto"/>
        <w:jc w:val="center"/>
        <w:rPr>
          <w:i/>
          <w:iCs/>
          <w:sz w:val="24"/>
          <w:szCs w:val="24"/>
        </w:rPr>
      </w:pPr>
      <w:r w:rsidRPr="009C3630">
        <w:rPr>
          <w:i/>
          <w:iCs/>
          <w:sz w:val="24"/>
          <w:szCs w:val="24"/>
        </w:rPr>
        <w:t>Студент, 5 курс специалитета</w:t>
      </w:r>
    </w:p>
    <w:p w14:paraId="4F435C12" w14:textId="77777777" w:rsidR="00F83637" w:rsidRPr="009C3630" w:rsidRDefault="00F83637" w:rsidP="00F83637">
      <w:pPr>
        <w:pStyle w:val="a3"/>
        <w:spacing w:line="240" w:lineRule="auto"/>
        <w:jc w:val="center"/>
        <w:rPr>
          <w:i/>
          <w:iCs/>
          <w:sz w:val="24"/>
          <w:szCs w:val="24"/>
        </w:rPr>
      </w:pPr>
      <w:r w:rsidRPr="00243263">
        <w:rPr>
          <w:i/>
          <w:iCs/>
          <w:sz w:val="24"/>
          <w:szCs w:val="24"/>
          <w:vertAlign w:val="superscript"/>
        </w:rPr>
        <w:t>1</w:t>
      </w:r>
      <w:r w:rsidRPr="009C3630">
        <w:rPr>
          <w:i/>
          <w:iCs/>
          <w:sz w:val="24"/>
          <w:szCs w:val="24"/>
        </w:rPr>
        <w:t>Филиал Московского государственного университета имени М. В. Ломоносова в городе Севастополе,</w:t>
      </w:r>
    </w:p>
    <w:p w14:paraId="662FF741" w14:textId="77777777" w:rsidR="00F83637" w:rsidRPr="009C3630" w:rsidRDefault="00F83637" w:rsidP="00F83637">
      <w:pPr>
        <w:pStyle w:val="a3"/>
        <w:spacing w:line="240" w:lineRule="auto"/>
        <w:jc w:val="center"/>
        <w:rPr>
          <w:i/>
          <w:iCs/>
          <w:sz w:val="24"/>
          <w:szCs w:val="24"/>
        </w:rPr>
      </w:pPr>
      <w:r w:rsidRPr="009C3630">
        <w:rPr>
          <w:i/>
          <w:iCs/>
          <w:sz w:val="24"/>
          <w:szCs w:val="24"/>
        </w:rPr>
        <w:t>факультет естественных наук, кафедра физики и геофизики, Севастополь, Россия</w:t>
      </w:r>
    </w:p>
    <w:p w14:paraId="592D54D9" w14:textId="77777777" w:rsidR="00F83637" w:rsidRPr="009C3630" w:rsidRDefault="00F83637" w:rsidP="00F83637">
      <w:pPr>
        <w:pStyle w:val="a3"/>
        <w:spacing w:line="240" w:lineRule="auto"/>
        <w:jc w:val="center"/>
        <w:rPr>
          <w:i/>
          <w:iCs/>
          <w:sz w:val="24"/>
          <w:szCs w:val="24"/>
        </w:rPr>
      </w:pPr>
      <w:r w:rsidRPr="00243263">
        <w:rPr>
          <w:i/>
          <w:iCs/>
          <w:sz w:val="24"/>
          <w:szCs w:val="24"/>
          <w:vertAlign w:val="superscript"/>
        </w:rPr>
        <w:t>2</w:t>
      </w:r>
      <w:r w:rsidRPr="009C3630">
        <w:rPr>
          <w:i/>
          <w:iCs/>
          <w:sz w:val="24"/>
          <w:szCs w:val="24"/>
        </w:rPr>
        <w:t>Московский государственный университет имени М.В. Ломоносова,</w:t>
      </w:r>
    </w:p>
    <w:p w14:paraId="3B1CF9AD" w14:textId="77777777" w:rsidR="00F83637" w:rsidRPr="009C3630" w:rsidRDefault="00F83637" w:rsidP="00F83637">
      <w:pPr>
        <w:pStyle w:val="a3"/>
        <w:spacing w:line="240" w:lineRule="auto"/>
        <w:jc w:val="center"/>
        <w:rPr>
          <w:i/>
          <w:iCs/>
          <w:sz w:val="24"/>
          <w:szCs w:val="24"/>
        </w:rPr>
      </w:pPr>
      <w:r w:rsidRPr="009C3630">
        <w:rPr>
          <w:i/>
          <w:iCs/>
          <w:sz w:val="24"/>
          <w:szCs w:val="24"/>
        </w:rPr>
        <w:t>физический факультет, Москва, Россия</w:t>
      </w:r>
    </w:p>
    <w:p w14:paraId="61A32A74" w14:textId="77777777" w:rsidR="00F83637" w:rsidRPr="003C167A" w:rsidRDefault="00F83637" w:rsidP="00F83637">
      <w:pPr>
        <w:pStyle w:val="a3"/>
        <w:spacing w:line="240" w:lineRule="auto"/>
        <w:ind w:firstLine="0"/>
        <w:jc w:val="center"/>
        <w:rPr>
          <w:i/>
          <w:iCs/>
          <w:sz w:val="24"/>
          <w:szCs w:val="24"/>
        </w:rPr>
      </w:pPr>
      <w:r w:rsidRPr="009C3630">
        <w:rPr>
          <w:i/>
          <w:iCs/>
          <w:sz w:val="24"/>
          <w:szCs w:val="24"/>
          <w:lang w:val="en-US"/>
        </w:rPr>
        <w:t>E</w:t>
      </w:r>
      <w:r w:rsidRPr="003C167A">
        <w:rPr>
          <w:i/>
          <w:iCs/>
          <w:sz w:val="24"/>
          <w:szCs w:val="24"/>
        </w:rPr>
        <w:t>–</w:t>
      </w:r>
      <w:r w:rsidRPr="009C3630">
        <w:rPr>
          <w:i/>
          <w:iCs/>
          <w:sz w:val="24"/>
          <w:szCs w:val="24"/>
          <w:lang w:val="en-US"/>
        </w:rPr>
        <w:t>mail</w:t>
      </w:r>
      <w:r w:rsidRPr="003C167A">
        <w:rPr>
          <w:i/>
          <w:iCs/>
          <w:sz w:val="24"/>
          <w:szCs w:val="24"/>
        </w:rPr>
        <w:t xml:space="preserve">: </w:t>
      </w:r>
      <w:r w:rsidRPr="009C3630">
        <w:rPr>
          <w:i/>
          <w:iCs/>
          <w:sz w:val="24"/>
          <w:szCs w:val="24"/>
          <w:lang w:val="en-US"/>
        </w:rPr>
        <w:t>kaverak</w:t>
      </w:r>
      <w:r w:rsidRPr="003C167A">
        <w:rPr>
          <w:i/>
          <w:iCs/>
          <w:sz w:val="24"/>
          <w:szCs w:val="24"/>
        </w:rPr>
        <w:t>@</w:t>
      </w:r>
      <w:r w:rsidRPr="009C3630">
        <w:rPr>
          <w:i/>
          <w:iCs/>
          <w:sz w:val="24"/>
          <w:szCs w:val="24"/>
          <w:lang w:val="en-US"/>
        </w:rPr>
        <w:t>my</w:t>
      </w:r>
      <w:r w:rsidRPr="003C167A">
        <w:rPr>
          <w:i/>
          <w:iCs/>
          <w:sz w:val="24"/>
          <w:szCs w:val="24"/>
        </w:rPr>
        <w:t>.</w:t>
      </w:r>
      <w:r w:rsidRPr="009C3630">
        <w:rPr>
          <w:i/>
          <w:iCs/>
          <w:sz w:val="24"/>
          <w:szCs w:val="24"/>
          <w:lang w:val="en-US"/>
        </w:rPr>
        <w:t>msu</w:t>
      </w:r>
      <w:r w:rsidRPr="003C167A">
        <w:rPr>
          <w:i/>
          <w:iCs/>
          <w:sz w:val="24"/>
          <w:szCs w:val="24"/>
        </w:rPr>
        <w:t>.</w:t>
      </w:r>
      <w:r w:rsidRPr="009C3630">
        <w:rPr>
          <w:i/>
          <w:iCs/>
          <w:sz w:val="24"/>
          <w:szCs w:val="24"/>
          <w:lang w:val="en-US"/>
        </w:rPr>
        <w:t>ru</w:t>
      </w:r>
    </w:p>
    <w:p w14:paraId="4BA07E5B" w14:textId="77777777" w:rsidR="00F83637" w:rsidRPr="003C167A" w:rsidRDefault="00F83637" w:rsidP="00F83637">
      <w:pPr>
        <w:pStyle w:val="a3"/>
        <w:spacing w:line="240" w:lineRule="auto"/>
        <w:ind w:firstLine="397"/>
        <w:rPr>
          <w:sz w:val="24"/>
          <w:szCs w:val="24"/>
        </w:rPr>
      </w:pPr>
    </w:p>
    <w:p w14:paraId="671C3735" w14:textId="77777777" w:rsidR="00F83637" w:rsidRPr="00000CD0" w:rsidRDefault="00F83637" w:rsidP="00F83637">
      <w:pPr>
        <w:pStyle w:val="a3"/>
        <w:spacing w:line="240" w:lineRule="auto"/>
        <w:ind w:firstLine="397"/>
        <w:rPr>
          <w:color w:val="auto"/>
          <w:sz w:val="24"/>
          <w:szCs w:val="24"/>
        </w:rPr>
      </w:pPr>
      <w:r w:rsidRPr="00645F0F">
        <w:rPr>
          <w:color w:val="auto"/>
          <w:sz w:val="24"/>
          <w:szCs w:val="24"/>
        </w:rPr>
        <w:t>Современные тенденции развития фотонных и оптоэлектронных технологий требуют создания компактных, энергоэффективных и высокопроизводительных устройств для управления световыми сигналами.</w:t>
      </w:r>
      <w:r>
        <w:rPr>
          <w:color w:val="auto"/>
          <w:sz w:val="24"/>
          <w:szCs w:val="24"/>
        </w:rPr>
        <w:t xml:space="preserve"> </w:t>
      </w:r>
      <w:r w:rsidRPr="00645F0F">
        <w:rPr>
          <w:color w:val="auto"/>
          <w:sz w:val="24"/>
          <w:szCs w:val="24"/>
        </w:rPr>
        <w:t xml:space="preserve">Одним из ключевых элементов таких систем являются оптические модуляторы, которые позволяют контролировать интенсивность, фазу или поляризацию света. В последние годы особое внимание уделяется разработке гибридных нанофотонных устройств, сочетающих преимущества </w:t>
      </w:r>
      <w:r>
        <w:rPr>
          <w:color w:val="auto"/>
          <w:sz w:val="24"/>
          <w:szCs w:val="24"/>
        </w:rPr>
        <w:t>кремниевых технологий</w:t>
      </w:r>
      <w:r w:rsidRPr="00645F0F">
        <w:rPr>
          <w:color w:val="auto"/>
          <w:sz w:val="24"/>
          <w:szCs w:val="24"/>
        </w:rPr>
        <w:t xml:space="preserve"> с уникальными оптическими свойствами функциональных материалов. В этом контексте тонкие пленки дихалькогенидов переходных металлов (TMD, Transition Metal Dichalcogenides) представляют собой перспективную платформу благодаря их исключительным электронным и оптическим характеристикам </w:t>
      </w:r>
      <w:r w:rsidRPr="00000CD0">
        <w:rPr>
          <w:color w:val="auto"/>
          <w:sz w:val="24"/>
          <w:szCs w:val="24"/>
        </w:rPr>
        <w:t>[</w:t>
      </w:r>
      <w:r>
        <w:rPr>
          <w:color w:val="auto"/>
          <w:sz w:val="24"/>
          <w:szCs w:val="24"/>
        </w:rPr>
        <w:t>1, 2</w:t>
      </w:r>
      <w:r w:rsidRPr="00000CD0">
        <w:rPr>
          <w:color w:val="auto"/>
          <w:sz w:val="24"/>
          <w:szCs w:val="24"/>
        </w:rPr>
        <w:t>]. TMD</w:t>
      </w:r>
      <w:r>
        <w:rPr>
          <w:color w:val="auto"/>
          <w:sz w:val="24"/>
          <w:szCs w:val="24"/>
        </w:rPr>
        <w:t xml:space="preserve"> материалы</w:t>
      </w:r>
      <w:r w:rsidRPr="00000CD0">
        <w:rPr>
          <w:color w:val="auto"/>
          <w:sz w:val="24"/>
          <w:szCs w:val="24"/>
        </w:rPr>
        <w:t xml:space="preserve">, такие как MoX2 и WX2 (X = S, Se) </w:t>
      </w:r>
      <w:r>
        <w:rPr>
          <w:color w:val="auto"/>
          <w:sz w:val="24"/>
          <w:szCs w:val="24"/>
        </w:rPr>
        <w:t xml:space="preserve">обладают </w:t>
      </w:r>
      <w:r w:rsidRPr="00000CD0">
        <w:rPr>
          <w:sz w:val="24"/>
          <w:szCs w:val="24"/>
        </w:rPr>
        <w:t>схожими структурами кристаллической решётки</w:t>
      </w:r>
      <w:r w:rsidRPr="00000CD0">
        <w:rPr>
          <w:color w:val="auto"/>
          <w:sz w:val="24"/>
          <w:szCs w:val="24"/>
        </w:rPr>
        <w:t xml:space="preserve"> и проявляют свойства, зависящие от количества слоев</w:t>
      </w:r>
      <w:r>
        <w:rPr>
          <w:color w:val="auto"/>
          <w:sz w:val="24"/>
          <w:szCs w:val="24"/>
        </w:rPr>
        <w:t>. Так,</w:t>
      </w:r>
      <w:r w:rsidRPr="00000CD0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например, наблюдается</w:t>
      </w:r>
      <w:r w:rsidRPr="00000CD0">
        <w:rPr>
          <w:color w:val="auto"/>
          <w:sz w:val="24"/>
          <w:szCs w:val="24"/>
        </w:rPr>
        <w:t xml:space="preserve"> переход от непрямой запрещенной зоны к прямой по мере уменьшения количества слоев, что оказывает существенное влияние на оптические характеристики системы [</w:t>
      </w:r>
      <w:r>
        <w:rPr>
          <w:color w:val="auto"/>
          <w:sz w:val="24"/>
          <w:szCs w:val="24"/>
        </w:rPr>
        <w:t>4</w:t>
      </w:r>
      <w:r w:rsidRPr="00000CD0">
        <w:rPr>
          <w:color w:val="auto"/>
          <w:sz w:val="24"/>
          <w:szCs w:val="24"/>
        </w:rPr>
        <w:t>].</w:t>
      </w:r>
    </w:p>
    <w:p w14:paraId="407ED767" w14:textId="5532E70D" w:rsidR="00F83637" w:rsidRPr="00000CD0" w:rsidRDefault="00F83637" w:rsidP="00F83637">
      <w:pPr>
        <w:pStyle w:val="a3"/>
        <w:spacing w:line="240" w:lineRule="auto"/>
        <w:ind w:firstLine="397"/>
        <w:rPr>
          <w:color w:val="auto"/>
          <w:sz w:val="24"/>
          <w:szCs w:val="24"/>
        </w:rPr>
      </w:pPr>
      <w:r w:rsidRPr="00000CD0">
        <w:rPr>
          <w:color w:val="auto"/>
          <w:sz w:val="24"/>
          <w:szCs w:val="24"/>
        </w:rPr>
        <w:t xml:space="preserve">В данной работе предлагается концепция </w:t>
      </w:r>
      <w:r>
        <w:rPr>
          <w:color w:val="auto"/>
          <w:sz w:val="24"/>
          <w:szCs w:val="24"/>
        </w:rPr>
        <w:t xml:space="preserve">модулятора, состоящего из </w:t>
      </w:r>
      <w:r w:rsidRPr="00000CD0">
        <w:rPr>
          <w:color w:val="auto"/>
          <w:sz w:val="24"/>
          <w:szCs w:val="24"/>
        </w:rPr>
        <w:t>резонансной волноводной системы (РВС), которая основана на оптическом нанорезонаторе с высокой добротностью магнитного типа</w:t>
      </w:r>
      <w:r>
        <w:rPr>
          <w:color w:val="auto"/>
          <w:sz w:val="24"/>
          <w:szCs w:val="24"/>
        </w:rPr>
        <w:t>,</w:t>
      </w:r>
      <w:r w:rsidRPr="00000CD0">
        <w:rPr>
          <w:color w:val="auto"/>
          <w:sz w:val="24"/>
          <w:szCs w:val="24"/>
        </w:rPr>
        <w:t xml:space="preserve"> с применением тонких пленок дихалькогенидов переходных металлов. Исследуемая РВС состоит из цепочки наночастиц, размещенных между двумя полосковыми волноводами из нитрида кремния (</w:t>
      </w:r>
      <w:r w:rsidR="007916D3">
        <w:rPr>
          <w:color w:val="auto"/>
          <w:sz w:val="24"/>
          <w:szCs w:val="24"/>
          <w:lang w:val="en-US"/>
        </w:rPr>
        <w:t>Si</w:t>
      </w:r>
      <w:r w:rsidR="007916D3" w:rsidRPr="007916D3">
        <w:rPr>
          <w:color w:val="auto"/>
          <w:sz w:val="24"/>
          <w:szCs w:val="24"/>
          <w:vertAlign w:val="subscript"/>
        </w:rPr>
        <w:t>3</w:t>
      </w:r>
      <w:r w:rsidR="007916D3">
        <w:rPr>
          <w:color w:val="auto"/>
          <w:sz w:val="24"/>
          <w:szCs w:val="24"/>
          <w:lang w:val="en-US"/>
        </w:rPr>
        <w:t>N</w:t>
      </w:r>
      <w:r w:rsidR="007916D3" w:rsidRPr="007916D3">
        <w:rPr>
          <w:color w:val="auto"/>
          <w:sz w:val="24"/>
          <w:szCs w:val="24"/>
          <w:vertAlign w:val="subscript"/>
        </w:rPr>
        <w:t>4</w:t>
      </w:r>
      <w:r w:rsidRPr="00000CD0">
        <w:rPr>
          <w:color w:val="auto"/>
          <w:sz w:val="24"/>
          <w:szCs w:val="24"/>
        </w:rPr>
        <w:t>) высот</w:t>
      </w:r>
      <w:r>
        <w:rPr>
          <w:color w:val="auto"/>
          <w:sz w:val="24"/>
          <w:szCs w:val="24"/>
        </w:rPr>
        <w:t xml:space="preserve">ой </w:t>
      </w:r>
      <w:r w:rsidRPr="00000CD0">
        <w:rPr>
          <w:i/>
          <w:iCs/>
          <w:color w:val="auto"/>
          <w:sz w:val="24"/>
          <w:szCs w:val="24"/>
        </w:rPr>
        <w:t xml:space="preserve">h </w:t>
      </w:r>
      <w:r w:rsidRPr="00000CD0">
        <w:rPr>
          <w:color w:val="auto"/>
          <w:sz w:val="24"/>
          <w:szCs w:val="24"/>
        </w:rPr>
        <w:t>= 400</w:t>
      </w:r>
      <w:r>
        <w:rPr>
          <w:color w:val="auto"/>
          <w:sz w:val="24"/>
          <w:szCs w:val="24"/>
        </w:rPr>
        <w:t> </w:t>
      </w:r>
      <w:r w:rsidRPr="00000CD0">
        <w:rPr>
          <w:color w:val="auto"/>
          <w:sz w:val="24"/>
          <w:szCs w:val="24"/>
        </w:rPr>
        <w:t xml:space="preserve">нм и шириной </w:t>
      </w:r>
      <w:r w:rsidRPr="00000CD0">
        <w:rPr>
          <w:i/>
          <w:iCs/>
          <w:color w:val="auto"/>
          <w:sz w:val="24"/>
          <w:szCs w:val="24"/>
        </w:rPr>
        <w:t>w</w:t>
      </w:r>
      <w:r w:rsidRPr="00000CD0">
        <w:rPr>
          <w:color w:val="auto"/>
          <w:sz w:val="24"/>
          <w:szCs w:val="24"/>
        </w:rPr>
        <w:t xml:space="preserve"> = 850</w:t>
      </w:r>
      <w:r>
        <w:rPr>
          <w:color w:val="auto"/>
          <w:sz w:val="24"/>
          <w:szCs w:val="24"/>
        </w:rPr>
        <w:t> </w:t>
      </w:r>
      <w:r w:rsidRPr="00000CD0">
        <w:rPr>
          <w:color w:val="auto"/>
          <w:sz w:val="24"/>
          <w:szCs w:val="24"/>
        </w:rPr>
        <w:t>нм на подложке из оксида кремния (</w:t>
      </w:r>
      <w:r w:rsidR="007916D3">
        <w:rPr>
          <w:color w:val="auto"/>
          <w:sz w:val="24"/>
          <w:szCs w:val="24"/>
          <w:lang w:val="en-US"/>
        </w:rPr>
        <w:t>SiO</w:t>
      </w:r>
      <w:r w:rsidR="007916D3" w:rsidRPr="007916D3">
        <w:rPr>
          <w:color w:val="auto"/>
          <w:sz w:val="24"/>
          <w:szCs w:val="24"/>
          <w:vertAlign w:val="subscript"/>
        </w:rPr>
        <w:t>2</w:t>
      </w:r>
      <w:r w:rsidRPr="00000CD0">
        <w:rPr>
          <w:color w:val="auto"/>
          <w:sz w:val="24"/>
          <w:szCs w:val="24"/>
        </w:rPr>
        <w:t>). Выбор материалов обусловлен их оптическими свойствами, в частности наличие</w:t>
      </w:r>
      <w:r>
        <w:rPr>
          <w:color w:val="auto"/>
          <w:sz w:val="24"/>
          <w:szCs w:val="24"/>
        </w:rPr>
        <w:t>м</w:t>
      </w:r>
      <w:r w:rsidRPr="00000CD0">
        <w:rPr>
          <w:color w:val="auto"/>
          <w:sz w:val="24"/>
          <w:szCs w:val="24"/>
        </w:rPr>
        <w:t xml:space="preserve"> области прозрачности в видимом и ближнем инфракрасном диапазонах спектра. Вся цепочка состоит из левой и правой субволновых брэгговских решеток и центральной</w:t>
      </w:r>
      <w:r>
        <w:rPr>
          <w:color w:val="auto"/>
          <w:sz w:val="24"/>
          <w:szCs w:val="24"/>
        </w:rPr>
        <w:t xml:space="preserve"> резонансной</w:t>
      </w:r>
      <w:r w:rsidRPr="00000CD0">
        <w:rPr>
          <w:color w:val="auto"/>
          <w:sz w:val="24"/>
          <w:szCs w:val="24"/>
        </w:rPr>
        <w:t xml:space="preserve"> части. Каждая из субволновых брэгговских решеток состоит из десяти равных наночастиц. </w:t>
      </w:r>
      <w:r w:rsidRPr="00645F0F">
        <w:rPr>
          <w:color w:val="auto"/>
          <w:sz w:val="24"/>
          <w:szCs w:val="24"/>
        </w:rPr>
        <w:t>Период структуры, состоящей из наночастиц и зазоров между ними, составляет 296</w:t>
      </w:r>
      <w:r>
        <w:rPr>
          <w:color w:val="auto"/>
          <w:sz w:val="24"/>
          <w:szCs w:val="24"/>
        </w:rPr>
        <w:t> </w:t>
      </w:r>
      <w:r w:rsidRPr="00645F0F">
        <w:rPr>
          <w:color w:val="auto"/>
          <w:sz w:val="24"/>
          <w:szCs w:val="24"/>
        </w:rPr>
        <w:t>нм, где каждая наночастица имеет длину 166</w:t>
      </w:r>
      <w:r>
        <w:rPr>
          <w:color w:val="auto"/>
          <w:sz w:val="24"/>
          <w:szCs w:val="24"/>
        </w:rPr>
        <w:t> </w:t>
      </w:r>
      <w:r w:rsidRPr="00645F0F">
        <w:rPr>
          <w:color w:val="auto"/>
          <w:sz w:val="24"/>
          <w:szCs w:val="24"/>
        </w:rPr>
        <w:t>нм.</w:t>
      </w:r>
      <w:r>
        <w:rPr>
          <w:color w:val="auto"/>
          <w:sz w:val="24"/>
          <w:szCs w:val="24"/>
        </w:rPr>
        <w:t xml:space="preserve"> Центральная часть системы </w:t>
      </w:r>
      <w:r w:rsidRPr="00000CD0">
        <w:rPr>
          <w:color w:val="auto"/>
          <w:sz w:val="24"/>
          <w:szCs w:val="24"/>
        </w:rPr>
        <w:t>включает в себя двадцать наночастиц различной ширины</w:t>
      </w:r>
      <w:r>
        <w:rPr>
          <w:color w:val="auto"/>
          <w:sz w:val="24"/>
          <w:szCs w:val="24"/>
        </w:rPr>
        <w:t xml:space="preserve">, которая </w:t>
      </w:r>
      <w:r w:rsidRPr="00000CD0">
        <w:rPr>
          <w:color w:val="auto"/>
          <w:sz w:val="24"/>
          <w:szCs w:val="24"/>
        </w:rPr>
        <w:t>изменяется от 166</w:t>
      </w:r>
      <w:r>
        <w:rPr>
          <w:color w:val="auto"/>
          <w:sz w:val="24"/>
          <w:szCs w:val="24"/>
        </w:rPr>
        <w:t> </w:t>
      </w:r>
      <w:r w:rsidRPr="00000CD0">
        <w:rPr>
          <w:color w:val="auto"/>
          <w:sz w:val="24"/>
          <w:szCs w:val="24"/>
        </w:rPr>
        <w:t>нм по краям до 154</w:t>
      </w:r>
      <w:r>
        <w:rPr>
          <w:color w:val="auto"/>
          <w:sz w:val="24"/>
          <w:szCs w:val="24"/>
        </w:rPr>
        <w:t> </w:t>
      </w:r>
      <w:r w:rsidRPr="00000CD0">
        <w:rPr>
          <w:color w:val="auto"/>
          <w:sz w:val="24"/>
          <w:szCs w:val="24"/>
        </w:rPr>
        <w:t xml:space="preserve">нм в центре </w:t>
      </w:r>
      <w:r>
        <w:rPr>
          <w:color w:val="auto"/>
          <w:sz w:val="24"/>
          <w:szCs w:val="24"/>
        </w:rPr>
        <w:t xml:space="preserve">резонансной </w:t>
      </w:r>
      <w:r w:rsidRPr="00000CD0">
        <w:rPr>
          <w:color w:val="auto"/>
          <w:sz w:val="24"/>
          <w:szCs w:val="24"/>
        </w:rPr>
        <w:t>полости</w:t>
      </w:r>
      <w:r>
        <w:rPr>
          <w:color w:val="auto"/>
          <w:sz w:val="24"/>
          <w:szCs w:val="24"/>
        </w:rPr>
        <w:t xml:space="preserve">, что позволяет достичь </w:t>
      </w:r>
      <w:r w:rsidRPr="00000CD0">
        <w:rPr>
          <w:color w:val="auto"/>
          <w:sz w:val="24"/>
          <w:szCs w:val="24"/>
        </w:rPr>
        <w:t>оптимальн</w:t>
      </w:r>
      <w:r>
        <w:rPr>
          <w:color w:val="auto"/>
          <w:sz w:val="24"/>
          <w:szCs w:val="24"/>
        </w:rPr>
        <w:t>ого</w:t>
      </w:r>
      <w:r w:rsidRPr="00000CD0">
        <w:rPr>
          <w:color w:val="auto"/>
          <w:sz w:val="24"/>
          <w:szCs w:val="24"/>
        </w:rPr>
        <w:t xml:space="preserve"> профил</w:t>
      </w:r>
      <w:r>
        <w:rPr>
          <w:color w:val="auto"/>
          <w:sz w:val="24"/>
          <w:szCs w:val="24"/>
        </w:rPr>
        <w:t>я</w:t>
      </w:r>
      <w:r w:rsidRPr="00000CD0">
        <w:rPr>
          <w:color w:val="auto"/>
          <w:sz w:val="24"/>
          <w:szCs w:val="24"/>
        </w:rPr>
        <w:t xml:space="preserve"> ослабления поля гауссовой формы.</w:t>
      </w:r>
      <w:r>
        <w:rPr>
          <w:color w:val="auto"/>
          <w:sz w:val="24"/>
          <w:szCs w:val="24"/>
        </w:rPr>
        <w:t xml:space="preserve"> </w:t>
      </w:r>
      <w:r w:rsidRPr="00000CD0">
        <w:rPr>
          <w:color w:val="auto"/>
          <w:sz w:val="24"/>
          <w:szCs w:val="24"/>
        </w:rPr>
        <w:t>Общая длина всей центральной части составляет</w:t>
      </w:r>
      <w:r>
        <w:rPr>
          <w:color w:val="auto"/>
          <w:sz w:val="24"/>
          <w:szCs w:val="24"/>
        </w:rPr>
        <w:t xml:space="preserve"> </w:t>
      </w:r>
      <w:r w:rsidRPr="00000CD0">
        <w:rPr>
          <w:color w:val="auto"/>
          <w:sz w:val="24"/>
          <w:szCs w:val="24"/>
        </w:rPr>
        <w:t>5,94</w:t>
      </w:r>
      <w:r>
        <w:rPr>
          <w:color w:val="auto"/>
          <w:sz w:val="24"/>
          <w:szCs w:val="24"/>
        </w:rPr>
        <w:t> </w:t>
      </w:r>
      <w:r w:rsidRPr="00000CD0">
        <w:rPr>
          <w:color w:val="auto"/>
          <w:sz w:val="24"/>
          <w:szCs w:val="24"/>
        </w:rPr>
        <w:t>мкм.</w:t>
      </w:r>
      <w:r>
        <w:rPr>
          <w:color w:val="auto"/>
          <w:sz w:val="24"/>
          <w:szCs w:val="24"/>
        </w:rPr>
        <w:t xml:space="preserve"> И</w:t>
      </w:r>
      <w:r w:rsidRPr="00000CD0">
        <w:rPr>
          <w:color w:val="auto"/>
          <w:sz w:val="24"/>
          <w:szCs w:val="24"/>
        </w:rPr>
        <w:t xml:space="preserve">сследуемая </w:t>
      </w:r>
      <w:r>
        <w:rPr>
          <w:color w:val="auto"/>
          <w:sz w:val="24"/>
          <w:szCs w:val="24"/>
        </w:rPr>
        <w:t>РВС</w:t>
      </w:r>
      <w:r w:rsidRPr="00000CD0">
        <w:rPr>
          <w:color w:val="auto"/>
          <w:sz w:val="24"/>
          <w:szCs w:val="24"/>
        </w:rPr>
        <w:t xml:space="preserve"> покрывается тонкими пленками </w:t>
      </w:r>
      <w:r w:rsidRPr="00000CD0">
        <w:rPr>
          <w:color w:val="auto"/>
          <w:sz w:val="24"/>
          <w:szCs w:val="24"/>
          <w:lang w:val="en-US"/>
        </w:rPr>
        <w:t>TMD</w:t>
      </w:r>
      <w:r w:rsidRPr="00000CD0">
        <w:rPr>
          <w:color w:val="auto"/>
          <w:sz w:val="24"/>
          <w:szCs w:val="24"/>
        </w:rPr>
        <w:t xml:space="preserve"> материалов. В ходе исследования различных пленок дихалькогенидов переходных металлов были выбраны диселенид молибдена (</w:t>
      </w:r>
      <w:r w:rsidR="007916D3">
        <w:rPr>
          <w:color w:val="auto"/>
          <w:sz w:val="24"/>
          <w:szCs w:val="24"/>
          <w:lang w:val="en-US"/>
        </w:rPr>
        <w:t>MoSe</w:t>
      </w:r>
      <w:r w:rsidR="007916D3" w:rsidRPr="007916D3">
        <w:rPr>
          <w:color w:val="auto"/>
          <w:sz w:val="24"/>
          <w:szCs w:val="24"/>
          <w:vertAlign w:val="subscript"/>
        </w:rPr>
        <w:t>2</w:t>
      </w:r>
      <w:r w:rsidRPr="00000CD0">
        <w:rPr>
          <w:color w:val="auto"/>
          <w:sz w:val="24"/>
          <w:szCs w:val="24"/>
        </w:rPr>
        <w:t>) и диселенид вольфрама (</w:t>
      </w:r>
      <w:r w:rsidR="007916D3">
        <w:rPr>
          <w:color w:val="auto"/>
          <w:sz w:val="24"/>
          <w:szCs w:val="24"/>
          <w:lang w:val="en-US"/>
        </w:rPr>
        <w:t>WSe</w:t>
      </w:r>
      <w:r w:rsidR="007916D3" w:rsidRPr="007916D3">
        <w:rPr>
          <w:color w:val="auto"/>
          <w:sz w:val="24"/>
          <w:szCs w:val="24"/>
          <w:vertAlign w:val="subscript"/>
        </w:rPr>
        <w:t>2</w:t>
      </w:r>
      <w:r>
        <w:rPr>
          <w:color w:val="auto"/>
          <w:sz w:val="24"/>
          <w:szCs w:val="24"/>
        </w:rPr>
        <w:t xml:space="preserve">). </w:t>
      </w:r>
      <w:r w:rsidRPr="00000CD0">
        <w:rPr>
          <w:color w:val="auto"/>
          <w:sz w:val="24"/>
          <w:szCs w:val="24"/>
        </w:rPr>
        <w:t xml:space="preserve">Толщины всех пленок в рамках данной структуры </w:t>
      </w:r>
      <w:r>
        <w:rPr>
          <w:color w:val="auto"/>
          <w:sz w:val="24"/>
          <w:szCs w:val="24"/>
        </w:rPr>
        <w:t>изменялись</w:t>
      </w:r>
      <w:r w:rsidRPr="00000CD0">
        <w:rPr>
          <w:color w:val="auto"/>
          <w:sz w:val="24"/>
          <w:szCs w:val="24"/>
        </w:rPr>
        <w:t xml:space="preserve"> от 1</w:t>
      </w:r>
      <w:r>
        <w:rPr>
          <w:color w:val="auto"/>
          <w:sz w:val="24"/>
          <w:szCs w:val="24"/>
        </w:rPr>
        <w:t> </w:t>
      </w:r>
      <w:r w:rsidRPr="00000CD0">
        <w:rPr>
          <w:color w:val="auto"/>
          <w:sz w:val="24"/>
          <w:szCs w:val="24"/>
        </w:rPr>
        <w:t>нм до 10</w:t>
      </w:r>
      <w:r>
        <w:rPr>
          <w:color w:val="auto"/>
          <w:sz w:val="24"/>
          <w:szCs w:val="24"/>
        </w:rPr>
        <w:t> </w:t>
      </w:r>
      <w:r w:rsidRPr="00000CD0">
        <w:rPr>
          <w:color w:val="auto"/>
          <w:sz w:val="24"/>
          <w:szCs w:val="24"/>
        </w:rPr>
        <w:t>нм.</w:t>
      </w:r>
    </w:p>
    <w:p w14:paraId="5D1A5A84" w14:textId="77777777" w:rsidR="00F83637" w:rsidRPr="00CE0784" w:rsidRDefault="00F83637" w:rsidP="00F83637">
      <w:pPr>
        <w:pStyle w:val="a3"/>
        <w:spacing w:line="240" w:lineRule="auto"/>
        <w:ind w:firstLine="397"/>
        <w:rPr>
          <w:color w:val="auto"/>
          <w:sz w:val="24"/>
          <w:szCs w:val="24"/>
        </w:rPr>
      </w:pPr>
      <w:r w:rsidRPr="00000CD0">
        <w:rPr>
          <w:sz w:val="24"/>
          <w:szCs w:val="24"/>
        </w:rPr>
        <w:t>Для феноменологического описания изменения оптических характеристик двумерных материалов за счёт лазерной накачки можно использовать модель, в которой показатель поглощения зависит</w:t>
      </w:r>
      <w:r w:rsidRPr="00000CD0">
        <w:rPr>
          <w:color w:val="auto"/>
          <w:sz w:val="24"/>
          <w:szCs w:val="24"/>
        </w:rPr>
        <w:t xml:space="preserve"> от интенсивности I и интенсивности насыщения I</w:t>
      </w:r>
      <w:r w:rsidRPr="003D7365">
        <w:rPr>
          <w:color w:val="auto"/>
          <w:sz w:val="24"/>
          <w:szCs w:val="24"/>
          <w:vertAlign w:val="subscript"/>
        </w:rPr>
        <w:t>s</w:t>
      </w:r>
      <w:r w:rsidRPr="00000CD0">
        <w:rPr>
          <w:color w:val="auto"/>
          <w:sz w:val="24"/>
          <w:szCs w:val="24"/>
        </w:rPr>
        <w:t xml:space="preserve"> материала как </w:t>
      </w:r>
      <w:r w:rsidRPr="00000CD0">
        <w:rPr>
          <w:sz w:val="24"/>
          <w:szCs w:val="24"/>
        </w:rPr>
        <w:t>[</w:t>
      </w:r>
      <w:r>
        <w:rPr>
          <w:sz w:val="24"/>
          <w:szCs w:val="24"/>
        </w:rPr>
        <w:t>1</w:t>
      </w:r>
      <w:r w:rsidRPr="00000CD0">
        <w:rPr>
          <w:sz w:val="24"/>
          <w:szCs w:val="24"/>
        </w:rPr>
        <w:t>,</w:t>
      </w:r>
      <w:r>
        <w:rPr>
          <w:sz w:val="24"/>
          <w:szCs w:val="24"/>
        </w:rPr>
        <w:t xml:space="preserve"> 2</w:t>
      </w:r>
      <w:r w:rsidRPr="00000CD0">
        <w:rPr>
          <w:sz w:val="24"/>
          <w:szCs w:val="24"/>
        </w:rPr>
        <w:t>,</w:t>
      </w:r>
      <w:r>
        <w:rPr>
          <w:sz w:val="24"/>
          <w:szCs w:val="24"/>
        </w:rPr>
        <w:t xml:space="preserve"> 3</w:t>
      </w:r>
      <w:r w:rsidRPr="00000CD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00CD0">
        <w:rPr>
          <w:sz w:val="24"/>
          <w:szCs w:val="24"/>
        </w:rPr>
        <w:t>5]</w:t>
      </w:r>
      <w:r w:rsidRPr="00000CD0">
        <w:rPr>
          <w:color w:val="auto"/>
          <w:sz w:val="24"/>
          <w:szCs w:val="24"/>
        </w:rPr>
        <w:t>:</w:t>
      </w:r>
    </w:p>
    <w:p w14:paraId="570F5A76" w14:textId="77777777" w:rsidR="00F83637" w:rsidRPr="00CE0784" w:rsidRDefault="00F83637" w:rsidP="00F83637">
      <w:pPr>
        <w:pStyle w:val="a3"/>
        <w:spacing w:line="240" w:lineRule="auto"/>
        <w:ind w:firstLine="397"/>
        <w:jc w:val="center"/>
        <w:rPr>
          <w:rFonts w:eastAsiaTheme="minorEastAsia"/>
          <w:color w:val="auto"/>
          <w:sz w:val="24"/>
          <w:szCs w:val="24"/>
        </w:rPr>
      </w:pPr>
      <m:oMath>
        <m:r>
          <w:rPr>
            <w:rFonts w:ascii="Cambria Math" w:hAnsi="Cambria Math"/>
            <w:color w:val="auto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/>
            <w:color w:val="auto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  <w:szCs w:val="24"/>
              </w:rPr>
              <m:t>1+</m:t>
            </m:r>
            <m:r>
              <w:rPr>
                <w:rFonts w:ascii="Cambria Math" w:hAnsi="Cambria Math"/>
                <w:color w:val="auto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  <w:szCs w:val="24"/>
              </w:rPr>
              <m:t>/</m:t>
            </m:r>
            <m:r>
              <w:rPr>
                <w:rFonts w:ascii="Cambria Math" w:hAnsi="Cambria Math"/>
                <w:color w:val="auto"/>
                <w:sz w:val="24"/>
                <w:szCs w:val="24"/>
              </w:rPr>
              <m:t>Is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>
        <w:rPr>
          <w:rFonts w:eastAsiaTheme="minorEastAsia"/>
          <w:sz w:val="24"/>
          <w:szCs w:val="24"/>
        </w:rPr>
        <w:tab/>
        <w:t>(1)</w:t>
      </w:r>
    </w:p>
    <w:p w14:paraId="030E38E9" w14:textId="77777777" w:rsidR="00F83637" w:rsidRPr="00CE0784" w:rsidRDefault="00F83637" w:rsidP="00F83637">
      <w:pPr>
        <w:pStyle w:val="a3"/>
        <w:spacing w:line="240" w:lineRule="auto"/>
        <w:ind w:firstLine="397"/>
        <w:rPr>
          <w:rFonts w:eastAsiaTheme="minorEastAsia"/>
          <w:color w:val="auto"/>
          <w:sz w:val="24"/>
          <w:szCs w:val="24"/>
        </w:rPr>
      </w:pPr>
      <w:r w:rsidRPr="00CE0784">
        <w:rPr>
          <w:rFonts w:eastAsiaTheme="minorEastAsia"/>
          <w:color w:val="auto"/>
          <w:sz w:val="24"/>
          <w:szCs w:val="24"/>
        </w:rPr>
        <w:lastRenderedPageBreak/>
        <w:t xml:space="preserve">Действительная часть показателя преломления </w:t>
      </w:r>
      <w:r>
        <w:rPr>
          <w:rFonts w:eastAsiaTheme="minorEastAsia"/>
          <w:color w:val="auto"/>
          <w:sz w:val="24"/>
          <w:szCs w:val="24"/>
        </w:rPr>
        <w:t xml:space="preserve">в первом приближении </w:t>
      </w:r>
      <w:r w:rsidRPr="00CE0784">
        <w:rPr>
          <w:rFonts w:eastAsiaTheme="minorEastAsia"/>
          <w:color w:val="auto"/>
          <w:sz w:val="24"/>
          <w:szCs w:val="24"/>
        </w:rPr>
        <w:t xml:space="preserve">зависит от интенсивности </w:t>
      </w:r>
      <w:r w:rsidRPr="00CE0784">
        <w:rPr>
          <w:rFonts w:eastAsiaTheme="minorEastAsia"/>
          <w:color w:val="auto"/>
          <w:sz w:val="24"/>
          <w:szCs w:val="24"/>
          <w:lang w:val="en-US"/>
        </w:rPr>
        <w:t>I</w:t>
      </w:r>
      <w:r w:rsidRPr="00CE0784">
        <w:rPr>
          <w:rFonts w:eastAsiaTheme="minorEastAsia"/>
          <w:color w:val="auto"/>
          <w:sz w:val="24"/>
          <w:szCs w:val="24"/>
        </w:rPr>
        <w:t xml:space="preserve"> следующим образом (оптический эффект Керра):</w:t>
      </w:r>
    </w:p>
    <w:p w14:paraId="53AA0687" w14:textId="77777777" w:rsidR="00F83637" w:rsidRPr="009C3630" w:rsidRDefault="00F83637" w:rsidP="00F83637">
      <w:pPr>
        <w:pStyle w:val="a3"/>
        <w:spacing w:line="240" w:lineRule="auto"/>
        <w:ind w:firstLine="397"/>
        <w:jc w:val="center"/>
        <w:rPr>
          <w:i/>
          <w:color w:val="auto"/>
          <w:sz w:val="24"/>
          <w:szCs w:val="24"/>
        </w:rPr>
      </w:pPr>
      <m:oMath>
        <m:r>
          <w:rPr>
            <w:rFonts w:ascii="Cambria Math" w:hAnsi="Cambria Math"/>
            <w:color w:val="auto"/>
            <w:sz w:val="24"/>
            <w:szCs w:val="24"/>
          </w:rPr>
          <m:t>n</m:t>
        </m:r>
        <m:r>
          <m:rPr>
            <m:sty m:val="p"/>
          </m:rPr>
          <w:rPr>
            <w:rFonts w:ascii="Cambria Math" w:hAnsi="Cambria Math"/>
            <w:color w:val="auto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color w:val="auto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auto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color w:val="auto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color w:val="auto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auto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color w:val="auto"/>
            <w:sz w:val="24"/>
            <w:szCs w:val="24"/>
          </w:rPr>
          <m:t>∆</m:t>
        </m:r>
        <m:r>
          <w:rPr>
            <w:rFonts w:ascii="Cambria Math" w:hAnsi="Cambria Math"/>
            <w:color w:val="auto"/>
            <w:sz w:val="24"/>
            <w:szCs w:val="24"/>
            <w:lang w:val="en-US"/>
          </w:rPr>
          <m:t>I</m:t>
        </m:r>
      </m:oMath>
      <w:r w:rsidRPr="003C167A">
        <w:rPr>
          <w:rFonts w:eastAsiaTheme="minorEastAsia"/>
          <w:i/>
          <w:color w:val="auto"/>
          <w:sz w:val="24"/>
          <w:szCs w:val="24"/>
        </w:rPr>
        <w:tab/>
      </w:r>
      <w:r w:rsidRPr="009C3630">
        <w:rPr>
          <w:rFonts w:eastAsiaTheme="minorEastAsia"/>
          <w:iCs/>
          <w:color w:val="auto"/>
          <w:sz w:val="24"/>
          <w:szCs w:val="24"/>
        </w:rPr>
        <w:t>(2)</w:t>
      </w:r>
    </w:p>
    <w:p w14:paraId="3CC9589D" w14:textId="7A469EC4" w:rsidR="00F83637" w:rsidRPr="00A01072" w:rsidRDefault="00F83637" w:rsidP="00F83637">
      <w:pPr>
        <w:pStyle w:val="a3"/>
        <w:spacing w:line="240" w:lineRule="auto"/>
        <w:ind w:firstLine="397"/>
        <w:rPr>
          <w:color w:val="auto"/>
          <w:sz w:val="24"/>
          <w:szCs w:val="24"/>
        </w:rPr>
      </w:pPr>
      <w:r w:rsidRPr="00CE0784">
        <w:rPr>
          <w:color w:val="auto"/>
          <w:sz w:val="24"/>
          <w:szCs w:val="24"/>
        </w:rPr>
        <w:t xml:space="preserve">где </w:t>
      </w:r>
      <w:r w:rsidR="007D5A1F">
        <w:rPr>
          <w:color w:val="auto"/>
          <w:sz w:val="24"/>
          <w:szCs w:val="24"/>
          <w:lang w:val="en-US"/>
        </w:rPr>
        <w:t>n</w:t>
      </w:r>
      <w:r w:rsidR="007D5A1F" w:rsidRPr="007D5A1F">
        <w:rPr>
          <w:color w:val="auto"/>
          <w:sz w:val="24"/>
          <w:szCs w:val="24"/>
          <w:vertAlign w:val="subscript"/>
        </w:rPr>
        <w:t>0</w:t>
      </w:r>
      <w:r w:rsidRPr="00CE0784">
        <w:rPr>
          <w:rFonts w:eastAsiaTheme="minorEastAsia"/>
          <w:color w:val="auto"/>
          <w:sz w:val="24"/>
          <w:szCs w:val="24"/>
        </w:rPr>
        <w:t xml:space="preserve"> – линейный коэффициент отражения, </w:t>
      </w:r>
      <w:r w:rsidR="007D5A1F">
        <w:rPr>
          <w:rFonts w:eastAsiaTheme="minorEastAsia"/>
          <w:color w:val="auto"/>
          <w:sz w:val="24"/>
          <w:szCs w:val="24"/>
          <w:lang w:val="en-US"/>
        </w:rPr>
        <w:t>n</w:t>
      </w:r>
      <w:r w:rsidR="007D5A1F" w:rsidRPr="007D5A1F">
        <w:rPr>
          <w:rFonts w:eastAsiaTheme="minorEastAsia"/>
          <w:color w:val="auto"/>
          <w:sz w:val="24"/>
          <w:szCs w:val="24"/>
          <w:vertAlign w:val="subscript"/>
        </w:rPr>
        <w:t>2</w:t>
      </w:r>
      <w:r w:rsidRPr="00CE0784">
        <w:rPr>
          <w:rFonts w:eastAsiaTheme="minorEastAsia"/>
          <w:color w:val="auto"/>
          <w:sz w:val="24"/>
          <w:szCs w:val="24"/>
        </w:rPr>
        <w:t xml:space="preserve">– нелинейный показатель преломления, </w:t>
      </w:r>
      <w:r w:rsidR="007D5A1F" w:rsidRPr="007D5A1F">
        <w:rPr>
          <w:rFonts w:ascii="Symbol" w:eastAsiaTheme="minorEastAsia" w:hAnsi="Symbol"/>
          <w:color w:val="auto"/>
          <w:sz w:val="24"/>
          <w:szCs w:val="24"/>
          <w:lang w:val="en-US"/>
        </w:rPr>
        <w:t>D</w:t>
      </w:r>
      <w:r w:rsidR="007D5A1F">
        <w:rPr>
          <w:rFonts w:eastAsiaTheme="minorEastAsia"/>
          <w:color w:val="auto"/>
          <w:sz w:val="24"/>
          <w:szCs w:val="24"/>
          <w:lang w:val="en-US"/>
        </w:rPr>
        <w:t>I</w:t>
      </w:r>
      <w:r w:rsidRPr="00CE0784">
        <w:rPr>
          <w:rFonts w:eastAsiaTheme="minorEastAsia"/>
          <w:color w:val="auto"/>
          <w:sz w:val="24"/>
          <w:szCs w:val="24"/>
        </w:rPr>
        <w:t>– изменение интенсивности света накачки. В рамках данной модели</w:t>
      </w:r>
      <w:r>
        <w:rPr>
          <w:rFonts w:eastAsiaTheme="minorEastAsia"/>
          <w:color w:val="auto"/>
          <w:sz w:val="24"/>
          <w:szCs w:val="24"/>
        </w:rPr>
        <w:t xml:space="preserve"> и набора исследуемых материалов</w:t>
      </w:r>
      <w:r w:rsidRPr="00CE0784">
        <w:rPr>
          <w:rFonts w:eastAsiaTheme="minorEastAsia"/>
          <w:color w:val="auto"/>
          <w:sz w:val="24"/>
          <w:szCs w:val="24"/>
        </w:rPr>
        <w:t>, слагаемое, содержащее нелинейный показатель преломления, ввиду порядка малости (</w:t>
      </w:r>
      <w:r w:rsidR="007D5A1F" w:rsidRPr="007D5A1F">
        <w:rPr>
          <w:rFonts w:eastAsiaTheme="minorEastAsia"/>
          <w:sz w:val="24"/>
          <w:szCs w:val="24"/>
        </w:rPr>
        <w:t>~10</w:t>
      </w:r>
      <w:r w:rsidR="007D5A1F" w:rsidRPr="007D5A1F">
        <w:rPr>
          <w:rFonts w:eastAsiaTheme="minorEastAsia"/>
          <w:sz w:val="24"/>
          <w:szCs w:val="24"/>
          <w:vertAlign w:val="superscript"/>
        </w:rPr>
        <w:t>-6</w:t>
      </w:r>
      <w:r w:rsidR="007D5A1F" w:rsidRPr="007D5A1F">
        <w:rPr>
          <w:rFonts w:eastAsiaTheme="minorEastAsia"/>
          <w:color w:val="auto"/>
          <w:sz w:val="24"/>
          <w:szCs w:val="24"/>
        </w:rPr>
        <w:t>-10</w:t>
      </w:r>
      <w:r w:rsidR="007D5A1F" w:rsidRPr="007D5A1F">
        <w:rPr>
          <w:rFonts w:eastAsiaTheme="minorEastAsia"/>
          <w:color w:val="auto"/>
          <w:sz w:val="24"/>
          <w:szCs w:val="24"/>
          <w:vertAlign w:val="superscript"/>
        </w:rPr>
        <w:t>-7</w:t>
      </w:r>
      <w:r w:rsidRPr="00CE0784">
        <w:rPr>
          <w:rFonts w:eastAsiaTheme="minorEastAsia"/>
          <w:color w:val="auto"/>
          <w:sz w:val="24"/>
          <w:szCs w:val="24"/>
        </w:rPr>
        <w:t xml:space="preserve">) относительно линейной части выражения вносит незначительный вклад в изменение действительной части показателя преломления, поэтому в </w:t>
      </w:r>
      <w:r>
        <w:rPr>
          <w:rFonts w:eastAsiaTheme="minorEastAsia"/>
          <w:color w:val="auto"/>
          <w:sz w:val="24"/>
          <w:szCs w:val="24"/>
        </w:rPr>
        <w:t>дальнейших расчетах зависимость показателя преломления от интенсивности накачки не учитывается.</w:t>
      </w:r>
    </w:p>
    <w:p w14:paraId="13595B46" w14:textId="6BE7276A" w:rsidR="00F83637" w:rsidRDefault="00F83637" w:rsidP="00F83637">
      <w:pPr>
        <w:pStyle w:val="a3"/>
        <w:spacing w:line="240" w:lineRule="auto"/>
        <w:ind w:firstLine="397"/>
        <w:rPr>
          <w:color w:val="auto"/>
          <w:sz w:val="24"/>
          <w:szCs w:val="24"/>
        </w:rPr>
      </w:pPr>
      <w:r w:rsidRPr="00CE0784">
        <w:rPr>
          <w:color w:val="auto"/>
          <w:sz w:val="24"/>
          <w:szCs w:val="24"/>
        </w:rPr>
        <w:t xml:space="preserve">Для </w:t>
      </w:r>
      <w:r>
        <w:rPr>
          <w:color w:val="auto"/>
          <w:sz w:val="24"/>
          <w:szCs w:val="24"/>
        </w:rPr>
        <w:t>выбранных материалов была подсчитана зависимость комплексного показателя</w:t>
      </w:r>
      <w:r w:rsidRPr="00CE0784">
        <w:rPr>
          <w:color w:val="auto"/>
          <w:sz w:val="24"/>
          <w:szCs w:val="24"/>
        </w:rPr>
        <w:t xml:space="preserve"> преломления</w:t>
      </w:r>
      <w:r>
        <w:rPr>
          <w:color w:val="auto"/>
          <w:sz w:val="24"/>
          <w:szCs w:val="24"/>
        </w:rPr>
        <w:t xml:space="preserve"> от интенсивности лазерного излучения, выступающего в роли накачки.</w:t>
      </w:r>
      <w:r w:rsidRPr="00CE0784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Изменение показателя поглощения составило </w:t>
      </w:r>
      <w:r w:rsidRPr="00CE0784">
        <w:rPr>
          <w:color w:val="auto"/>
          <w:sz w:val="24"/>
          <w:szCs w:val="24"/>
        </w:rPr>
        <w:t>от 1,5*</w:t>
      </w:r>
      <w:r>
        <w:rPr>
          <w:color w:val="auto"/>
          <w:sz w:val="24"/>
          <w:szCs w:val="24"/>
        </w:rPr>
        <w:t>10</w:t>
      </w:r>
      <w:r w:rsidRPr="00FF0E19">
        <w:rPr>
          <w:color w:val="auto"/>
          <w:sz w:val="24"/>
          <w:szCs w:val="24"/>
          <w:vertAlign w:val="superscript"/>
        </w:rPr>
        <w:t>-3</w:t>
      </w:r>
      <w:r w:rsidRPr="00CE0784">
        <w:rPr>
          <w:color w:val="auto"/>
          <w:sz w:val="24"/>
          <w:szCs w:val="24"/>
        </w:rPr>
        <w:t xml:space="preserve"> до 0,75*</w:t>
      </w:r>
      <w:r>
        <w:rPr>
          <w:color w:val="auto"/>
          <w:sz w:val="24"/>
          <w:szCs w:val="24"/>
        </w:rPr>
        <w:t>10</w:t>
      </w:r>
      <w:r w:rsidRPr="00FF0E19">
        <w:rPr>
          <w:color w:val="auto"/>
          <w:sz w:val="24"/>
          <w:szCs w:val="24"/>
          <w:vertAlign w:val="superscript"/>
        </w:rPr>
        <w:t>-3</w:t>
      </w:r>
      <w:r>
        <w:rPr>
          <w:color w:val="auto"/>
          <w:sz w:val="24"/>
          <w:szCs w:val="24"/>
        </w:rPr>
        <w:t xml:space="preserve"> </w:t>
      </w:r>
      <w:r w:rsidRPr="00CE0784">
        <w:rPr>
          <w:color w:val="auto"/>
          <w:sz w:val="24"/>
          <w:szCs w:val="24"/>
        </w:rPr>
        <w:t>для диселенида вольфрама и от 1,24*</w:t>
      </w:r>
      <w:r>
        <w:rPr>
          <w:color w:val="auto"/>
          <w:sz w:val="24"/>
          <w:szCs w:val="24"/>
        </w:rPr>
        <w:t>10</w:t>
      </w:r>
      <w:r w:rsidRPr="00FF0E19">
        <w:rPr>
          <w:color w:val="auto"/>
          <w:sz w:val="24"/>
          <w:szCs w:val="24"/>
          <w:vertAlign w:val="superscript"/>
        </w:rPr>
        <w:t>-2</w:t>
      </w:r>
      <w:r w:rsidRPr="00CE0784">
        <w:rPr>
          <w:color w:val="auto"/>
          <w:sz w:val="24"/>
          <w:szCs w:val="24"/>
        </w:rPr>
        <w:t xml:space="preserve"> до 0,62*</w:t>
      </w:r>
      <w:r>
        <w:rPr>
          <w:color w:val="auto"/>
          <w:sz w:val="24"/>
          <w:szCs w:val="24"/>
        </w:rPr>
        <w:t>10</w:t>
      </w:r>
      <w:r w:rsidRPr="00FF0E19">
        <w:rPr>
          <w:color w:val="auto"/>
          <w:sz w:val="24"/>
          <w:szCs w:val="24"/>
          <w:vertAlign w:val="superscript"/>
        </w:rPr>
        <w:t>-2</w:t>
      </w:r>
      <w:r w:rsidRPr="00CE0784">
        <w:rPr>
          <w:color w:val="auto"/>
          <w:sz w:val="24"/>
          <w:szCs w:val="24"/>
        </w:rPr>
        <w:t xml:space="preserve"> для диселенида молибдена. </w:t>
      </w:r>
      <w:r>
        <w:rPr>
          <w:color w:val="auto"/>
          <w:sz w:val="24"/>
          <w:szCs w:val="24"/>
        </w:rPr>
        <w:t>В ходе работы было обнаружено, что п</w:t>
      </w:r>
      <w:r w:rsidRPr="00CE0784">
        <w:rPr>
          <w:color w:val="auto"/>
          <w:sz w:val="24"/>
          <w:szCs w:val="24"/>
        </w:rPr>
        <w:t xml:space="preserve">ри </w:t>
      </w:r>
      <w:r>
        <w:rPr>
          <w:color w:val="auto"/>
          <w:sz w:val="24"/>
          <w:szCs w:val="24"/>
        </w:rPr>
        <w:t>добавлении тонких</w:t>
      </w:r>
      <w:r w:rsidRPr="00CE0784">
        <w:rPr>
          <w:color w:val="auto"/>
          <w:sz w:val="24"/>
          <w:szCs w:val="24"/>
        </w:rPr>
        <w:t xml:space="preserve"> плен</w:t>
      </w:r>
      <w:r>
        <w:rPr>
          <w:color w:val="auto"/>
          <w:sz w:val="24"/>
          <w:szCs w:val="24"/>
        </w:rPr>
        <w:t>ок</w:t>
      </w:r>
      <w:r w:rsidRPr="00CE0784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наблюдалось смещение </w:t>
      </w:r>
      <w:r w:rsidRPr="00CE0784">
        <w:rPr>
          <w:color w:val="auto"/>
          <w:sz w:val="24"/>
          <w:szCs w:val="24"/>
        </w:rPr>
        <w:t>пик</w:t>
      </w:r>
      <w:r>
        <w:rPr>
          <w:color w:val="auto"/>
          <w:sz w:val="24"/>
          <w:szCs w:val="24"/>
        </w:rPr>
        <w:t>а</w:t>
      </w:r>
      <w:r w:rsidRPr="00CE0784">
        <w:rPr>
          <w:color w:val="auto"/>
          <w:sz w:val="24"/>
          <w:szCs w:val="24"/>
        </w:rPr>
        <w:t xml:space="preserve"> резонанса </w:t>
      </w:r>
      <w:r>
        <w:rPr>
          <w:color w:val="auto"/>
          <w:sz w:val="24"/>
          <w:szCs w:val="24"/>
        </w:rPr>
        <w:t>изначальной РВС</w:t>
      </w:r>
      <w:r w:rsidRPr="00CE0784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в длинноволновую область</w:t>
      </w:r>
      <w:r w:rsidRPr="00CE0784">
        <w:rPr>
          <w:color w:val="auto"/>
          <w:sz w:val="24"/>
          <w:szCs w:val="24"/>
        </w:rPr>
        <w:t xml:space="preserve"> </w:t>
      </w:r>
      <w:r>
        <w:rPr>
          <w:rFonts w:eastAsiaTheme="minorEastAsia"/>
          <w:color w:val="auto"/>
          <w:sz w:val="24"/>
          <w:szCs w:val="24"/>
        </w:rPr>
        <w:t>(</w:t>
      </w:r>
      <w:r w:rsidR="007D5A1F" w:rsidRPr="007D5A1F">
        <w:rPr>
          <w:rFonts w:ascii="Symbol" w:hAnsi="Symbol"/>
          <w:color w:val="auto"/>
          <w:sz w:val="24"/>
          <w:szCs w:val="24"/>
          <w:lang w:val="en-US"/>
        </w:rPr>
        <w:t>l</w:t>
      </w:r>
      <w:r w:rsidR="007D5A1F" w:rsidRPr="007D5A1F">
        <w:rPr>
          <w:color w:val="auto"/>
          <w:sz w:val="24"/>
          <w:szCs w:val="24"/>
          <w:vertAlign w:val="subscript"/>
          <w:lang w:val="en-US"/>
        </w:rPr>
        <w:t>res</w:t>
      </w:r>
      <w:r w:rsidR="007D5A1F" w:rsidRPr="007D5A1F">
        <w:rPr>
          <w:color w:val="auto"/>
          <w:sz w:val="24"/>
          <w:szCs w:val="24"/>
        </w:rPr>
        <w:t xml:space="preserve"> </w:t>
      </w:r>
      <w:r w:rsidRPr="00CE0784">
        <w:rPr>
          <w:color w:val="auto"/>
          <w:sz w:val="24"/>
          <w:szCs w:val="24"/>
        </w:rPr>
        <w:t>= 95</w:t>
      </w:r>
      <w:r>
        <w:rPr>
          <w:color w:val="auto"/>
          <w:sz w:val="24"/>
          <w:szCs w:val="24"/>
        </w:rPr>
        <w:t>6-959 </w:t>
      </w:r>
      <w:r w:rsidRPr="00CE0784">
        <w:rPr>
          <w:color w:val="auto"/>
          <w:sz w:val="24"/>
          <w:szCs w:val="24"/>
        </w:rPr>
        <w:t>нм</w:t>
      </w:r>
      <w:r>
        <w:rPr>
          <w:color w:val="auto"/>
          <w:sz w:val="24"/>
          <w:szCs w:val="24"/>
        </w:rPr>
        <w:t>)</w:t>
      </w:r>
      <w:r w:rsidRPr="00CE0784">
        <w:rPr>
          <w:color w:val="auto"/>
          <w:sz w:val="24"/>
          <w:szCs w:val="24"/>
        </w:rPr>
        <w:t xml:space="preserve">. </w:t>
      </w:r>
    </w:p>
    <w:p w14:paraId="660F56E8" w14:textId="1DE00027" w:rsidR="00F83637" w:rsidRPr="00CE0784" w:rsidRDefault="00F83637" w:rsidP="00F83637">
      <w:pPr>
        <w:pStyle w:val="a3"/>
        <w:spacing w:line="240" w:lineRule="auto"/>
        <w:ind w:firstLine="39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Результатом численного исследования стал расчёт коэффициента модуляции пропускания системы, максимальное значение которого составило 81 % для плёнки диселенида молибдена и 11 % для плёнки диселенида вольфрама при пиковой интенсивности накачки 121 ГВ*см</w:t>
      </w:r>
      <w:r w:rsidRPr="007C2324">
        <w:rPr>
          <w:color w:val="auto"/>
          <w:sz w:val="24"/>
          <w:szCs w:val="24"/>
          <w:vertAlign w:val="superscript"/>
        </w:rPr>
        <w:t>-</w:t>
      </w:r>
      <w:r>
        <w:rPr>
          <w:color w:val="auto"/>
          <w:sz w:val="24"/>
          <w:szCs w:val="24"/>
          <w:vertAlign w:val="superscript"/>
        </w:rPr>
        <w:t>2</w:t>
      </w:r>
      <w:r>
        <w:rPr>
          <w:color w:val="auto"/>
          <w:sz w:val="24"/>
          <w:szCs w:val="24"/>
        </w:rPr>
        <w:t>.</w:t>
      </w:r>
      <w:bookmarkStart w:id="0" w:name="_GoBack"/>
      <w:bookmarkEnd w:id="0"/>
    </w:p>
    <w:p w14:paraId="7585F13F" w14:textId="77777777" w:rsidR="00F83637" w:rsidRDefault="00F83637" w:rsidP="00F83637">
      <w:pPr>
        <w:pStyle w:val="a3"/>
        <w:spacing w:line="240" w:lineRule="auto"/>
        <w:ind w:firstLine="397"/>
        <w:rPr>
          <w:sz w:val="24"/>
          <w:szCs w:val="24"/>
        </w:rPr>
      </w:pPr>
      <w:r w:rsidRPr="00B07DC3">
        <w:rPr>
          <w:sz w:val="24"/>
          <w:szCs w:val="24"/>
        </w:rPr>
        <w:t xml:space="preserve">В заключение, предложенная концепция гибридного нанофотонного модулятора на основе резонансной волноводной системы с использованием тонких пленок дихалькогенидов переходных металлов демонстрирует высокий потенциал для управления оптическими сигналами. Численное моделирование показало, что </w:t>
      </w:r>
      <w:r>
        <w:rPr>
          <w:sz w:val="24"/>
          <w:szCs w:val="24"/>
        </w:rPr>
        <w:t>тонкие пленки</w:t>
      </w:r>
      <w:r w:rsidRPr="00B07DC3">
        <w:rPr>
          <w:sz w:val="24"/>
          <w:szCs w:val="24"/>
        </w:rPr>
        <w:t xml:space="preserve"> </w:t>
      </w:r>
      <w:r>
        <w:rPr>
          <w:sz w:val="24"/>
          <w:szCs w:val="24"/>
        </w:rPr>
        <w:t>дихалькогенидов переходных металлов</w:t>
      </w:r>
      <w:r w:rsidRPr="00B07DC3">
        <w:rPr>
          <w:sz w:val="24"/>
          <w:szCs w:val="24"/>
        </w:rPr>
        <w:t xml:space="preserve"> обеспечивают </w:t>
      </w:r>
      <w:r>
        <w:rPr>
          <w:sz w:val="24"/>
          <w:szCs w:val="24"/>
        </w:rPr>
        <w:t xml:space="preserve">высокую </w:t>
      </w:r>
      <w:r w:rsidRPr="00B07DC3">
        <w:rPr>
          <w:sz w:val="24"/>
          <w:szCs w:val="24"/>
        </w:rPr>
        <w:t>модуляцию пропускания</w:t>
      </w:r>
      <w:r>
        <w:rPr>
          <w:sz w:val="24"/>
          <w:szCs w:val="24"/>
        </w:rPr>
        <w:t xml:space="preserve">, что может быть использовано в приложениях </w:t>
      </w:r>
      <w:r w:rsidRPr="00645F0F">
        <w:rPr>
          <w:color w:val="auto"/>
          <w:sz w:val="24"/>
          <w:szCs w:val="24"/>
        </w:rPr>
        <w:t>фотонных и оптоэлектронных технологий</w:t>
      </w:r>
      <w:r>
        <w:rPr>
          <w:color w:val="auto"/>
          <w:sz w:val="24"/>
          <w:szCs w:val="24"/>
        </w:rPr>
        <w:t>.</w:t>
      </w:r>
    </w:p>
    <w:p w14:paraId="2E84FE77" w14:textId="77777777" w:rsidR="00F83637" w:rsidRDefault="00F83637" w:rsidP="00F83637">
      <w:pPr>
        <w:pStyle w:val="a3"/>
        <w:spacing w:line="240" w:lineRule="auto"/>
        <w:ind w:firstLine="397"/>
        <w:rPr>
          <w:color w:val="auto"/>
          <w:sz w:val="24"/>
          <w:szCs w:val="24"/>
        </w:rPr>
      </w:pPr>
    </w:p>
    <w:p w14:paraId="3F22E962" w14:textId="77777777" w:rsidR="00F83637" w:rsidRPr="003C167A" w:rsidRDefault="00F83637" w:rsidP="00F83637">
      <w:pPr>
        <w:pStyle w:val="a3"/>
        <w:spacing w:line="240" w:lineRule="auto"/>
        <w:ind w:firstLine="397"/>
        <w:rPr>
          <w:b/>
          <w:bCs/>
          <w:color w:val="auto"/>
          <w:sz w:val="24"/>
          <w:szCs w:val="24"/>
          <w:lang w:val="en-US"/>
        </w:rPr>
      </w:pPr>
      <w:r w:rsidRPr="00000CD0">
        <w:rPr>
          <w:b/>
          <w:bCs/>
          <w:color w:val="auto"/>
          <w:sz w:val="24"/>
          <w:szCs w:val="24"/>
        </w:rPr>
        <w:t>Литература</w:t>
      </w:r>
    </w:p>
    <w:p w14:paraId="39601963" w14:textId="77777777" w:rsidR="00F83637" w:rsidRPr="003C167A" w:rsidRDefault="00F83637" w:rsidP="00F83637">
      <w:pPr>
        <w:pStyle w:val="a3"/>
        <w:spacing w:line="240" w:lineRule="auto"/>
        <w:ind w:firstLine="397"/>
        <w:rPr>
          <w:sz w:val="24"/>
          <w:szCs w:val="24"/>
          <w:lang w:val="en-US"/>
        </w:rPr>
      </w:pPr>
      <w:r w:rsidRPr="00243263">
        <w:rPr>
          <w:color w:val="auto"/>
          <w:sz w:val="24"/>
          <w:szCs w:val="24"/>
          <w:lang w:val="en-US"/>
        </w:rPr>
        <w:t>1</w:t>
      </w:r>
      <w:r w:rsidRPr="007C2324">
        <w:rPr>
          <w:color w:val="auto"/>
          <w:sz w:val="24"/>
          <w:szCs w:val="24"/>
          <w:lang w:val="en-US"/>
        </w:rPr>
        <w:t>.</w:t>
      </w:r>
      <w:r w:rsidRPr="00CE0784">
        <w:rPr>
          <w:color w:val="auto"/>
          <w:sz w:val="24"/>
          <w:szCs w:val="24"/>
          <w:lang w:val="en-US"/>
        </w:rPr>
        <w:t xml:space="preserve"> Hsiang-Lin Liu, Chih-Chiang Shen, Sheng-Han Su, Chang-Lung Hsu, Ming-Yang Li, Lain-Jong Li; Optical properties of monolayer transition metal dichalcogenides probed by spectroscopic ellipsometry. Appl. Phys. Lett. 17 November 2014; 105 (20): 201905</w:t>
      </w:r>
    </w:p>
    <w:p w14:paraId="36BABB10" w14:textId="77777777" w:rsidR="00F83637" w:rsidRDefault="00F83637" w:rsidP="00F83637">
      <w:pPr>
        <w:pStyle w:val="a3"/>
        <w:spacing w:line="240" w:lineRule="auto"/>
        <w:ind w:firstLine="397"/>
        <w:rPr>
          <w:sz w:val="24"/>
          <w:szCs w:val="24"/>
          <w:lang w:val="en-US"/>
        </w:rPr>
      </w:pPr>
      <w:r w:rsidRPr="003C167A">
        <w:rPr>
          <w:sz w:val="24"/>
          <w:szCs w:val="24"/>
          <w:lang w:val="en-US"/>
        </w:rPr>
        <w:t xml:space="preserve">2. </w:t>
      </w:r>
      <w:r w:rsidRPr="00CE0784">
        <w:rPr>
          <w:sz w:val="24"/>
          <w:szCs w:val="24"/>
          <w:lang w:val="en-US"/>
        </w:rPr>
        <w:t>Munkhbat</w:t>
      </w:r>
      <w:r w:rsidRPr="003C167A">
        <w:rPr>
          <w:sz w:val="24"/>
          <w:szCs w:val="24"/>
          <w:lang w:val="en-US"/>
        </w:rPr>
        <w:t xml:space="preserve"> </w:t>
      </w:r>
      <w:r w:rsidRPr="00CE0784">
        <w:rPr>
          <w:sz w:val="24"/>
          <w:szCs w:val="24"/>
          <w:lang w:val="en-US"/>
        </w:rPr>
        <w:t>B</w:t>
      </w:r>
      <w:r w:rsidRPr="003C167A">
        <w:rPr>
          <w:sz w:val="24"/>
          <w:szCs w:val="24"/>
          <w:lang w:val="en-US"/>
        </w:rPr>
        <w:t xml:space="preserve">. </w:t>
      </w:r>
      <w:r w:rsidRPr="00CE0784">
        <w:rPr>
          <w:sz w:val="24"/>
          <w:szCs w:val="24"/>
          <w:lang w:val="en-US"/>
        </w:rPr>
        <w:t>et</w:t>
      </w:r>
      <w:r w:rsidRPr="003C167A">
        <w:rPr>
          <w:sz w:val="24"/>
          <w:szCs w:val="24"/>
          <w:lang w:val="en-US"/>
        </w:rPr>
        <w:t xml:space="preserve"> </w:t>
      </w:r>
      <w:r w:rsidRPr="00CE0784">
        <w:rPr>
          <w:sz w:val="24"/>
          <w:szCs w:val="24"/>
          <w:lang w:val="en-US"/>
        </w:rPr>
        <w:t>al</w:t>
      </w:r>
      <w:r w:rsidRPr="003C167A">
        <w:rPr>
          <w:sz w:val="24"/>
          <w:szCs w:val="24"/>
          <w:lang w:val="en-US"/>
        </w:rPr>
        <w:t xml:space="preserve">. </w:t>
      </w:r>
      <w:r w:rsidRPr="00CE0784">
        <w:rPr>
          <w:sz w:val="24"/>
          <w:szCs w:val="24"/>
          <w:lang w:val="en-US"/>
        </w:rPr>
        <w:t>Optical constants of several multilayer transition metal dichalcogenides measured by spectroscopic ellipsometry in the 300–1700 nm range: high index, anisotropy, and hyperbolicity //ACS photonics. – 2022. – Т. 9. – №. 7. – С. 2398-2407.</w:t>
      </w:r>
    </w:p>
    <w:p w14:paraId="34A73552" w14:textId="77777777" w:rsidR="00F83637" w:rsidRPr="002C4A3A" w:rsidRDefault="00F83637" w:rsidP="00F83637">
      <w:pPr>
        <w:pStyle w:val="a3"/>
        <w:spacing w:line="240" w:lineRule="auto"/>
        <w:ind w:firstLine="397"/>
        <w:rPr>
          <w:color w:val="auto"/>
          <w:sz w:val="24"/>
          <w:szCs w:val="24"/>
          <w:lang w:val="en-US"/>
        </w:rPr>
      </w:pPr>
      <w:r w:rsidRPr="00243263">
        <w:rPr>
          <w:color w:val="auto"/>
          <w:sz w:val="24"/>
          <w:szCs w:val="24"/>
          <w:lang w:val="en-US"/>
        </w:rPr>
        <w:t>3</w:t>
      </w:r>
      <w:r w:rsidRPr="007C2324">
        <w:rPr>
          <w:color w:val="auto"/>
          <w:sz w:val="24"/>
          <w:szCs w:val="24"/>
          <w:lang w:val="en-US"/>
        </w:rPr>
        <w:t>.</w:t>
      </w:r>
      <w:r w:rsidRPr="00CE0784">
        <w:rPr>
          <w:color w:val="auto"/>
          <w:sz w:val="24"/>
          <w:szCs w:val="24"/>
          <w:lang w:val="en-US"/>
        </w:rPr>
        <w:t xml:space="preserve"> </w:t>
      </w:r>
      <w:r w:rsidRPr="008C7DC3">
        <w:rPr>
          <w:color w:val="auto"/>
          <w:sz w:val="24"/>
          <w:szCs w:val="24"/>
          <w:lang w:val="en-US"/>
        </w:rPr>
        <w:t>Nardeep Kumar, Jiaqi He, Dawei He, Yongsheng Wang, Hui Zhao; Charge carrier dynamics in bulk MoS2 crystal studied by transient absorption microscopy. J. Appl. Phys. 7 April 2013; 113 (13): 133702</w:t>
      </w:r>
      <w:r w:rsidRPr="002C4A3A">
        <w:rPr>
          <w:color w:val="auto"/>
          <w:sz w:val="24"/>
          <w:szCs w:val="24"/>
          <w:lang w:val="en-US"/>
        </w:rPr>
        <w:t>.</w:t>
      </w:r>
    </w:p>
    <w:p w14:paraId="0DB562D5" w14:textId="77777777" w:rsidR="00F83637" w:rsidRPr="00CE0784" w:rsidRDefault="00F83637" w:rsidP="00F83637">
      <w:pPr>
        <w:pStyle w:val="a3"/>
        <w:spacing w:line="240" w:lineRule="auto"/>
        <w:ind w:firstLine="397"/>
        <w:rPr>
          <w:color w:val="auto"/>
          <w:sz w:val="24"/>
          <w:szCs w:val="24"/>
          <w:lang w:val="en-US"/>
        </w:rPr>
      </w:pPr>
      <w:r w:rsidRPr="003C167A">
        <w:rPr>
          <w:sz w:val="24"/>
          <w:szCs w:val="24"/>
          <w:lang w:val="en-US"/>
        </w:rPr>
        <w:t>4</w:t>
      </w:r>
      <w:r w:rsidRPr="002C4A3A">
        <w:rPr>
          <w:sz w:val="24"/>
          <w:szCs w:val="24"/>
          <w:lang w:val="en-US"/>
        </w:rPr>
        <w:t>.</w:t>
      </w:r>
      <w:r w:rsidRPr="00CE0784">
        <w:rPr>
          <w:sz w:val="24"/>
          <w:szCs w:val="24"/>
          <w:lang w:val="en-US"/>
        </w:rPr>
        <w:t xml:space="preserve"> </w:t>
      </w:r>
      <w:r w:rsidRPr="00CE0784">
        <w:rPr>
          <w:color w:val="auto"/>
          <w:sz w:val="24"/>
          <w:szCs w:val="24"/>
          <w:lang w:val="en-US"/>
        </w:rPr>
        <w:t>Wang K. et al. Broadband ultrafast nonlinear absorption and nonlinear refraction of layered molybdenum dichalcogenide semiconductors //Nanoscale. – 2014. – Т. 6. – №. 18. – С. 10530-10535.</w:t>
      </w:r>
    </w:p>
    <w:p w14:paraId="029D4945" w14:textId="77777777" w:rsidR="00F83637" w:rsidRPr="00000CD0" w:rsidRDefault="00F83637" w:rsidP="00F83637">
      <w:pPr>
        <w:pStyle w:val="a3"/>
        <w:spacing w:line="240" w:lineRule="auto"/>
        <w:ind w:firstLine="397"/>
        <w:rPr>
          <w:sz w:val="24"/>
          <w:szCs w:val="24"/>
          <w:lang w:val="en-US"/>
        </w:rPr>
      </w:pPr>
      <w:r w:rsidRPr="007C2324">
        <w:rPr>
          <w:color w:val="auto"/>
          <w:sz w:val="24"/>
          <w:szCs w:val="24"/>
          <w:lang w:val="en-US"/>
        </w:rPr>
        <w:t>5.</w:t>
      </w:r>
      <w:r w:rsidRPr="00CE0784">
        <w:rPr>
          <w:color w:val="auto"/>
          <w:sz w:val="24"/>
          <w:szCs w:val="24"/>
          <w:lang w:val="en-US"/>
        </w:rPr>
        <w:t xml:space="preserve"> Zhong, C., Li, J. &amp; Lin, H. Graphene-based all-optical modulators. Front. Optoelectron. 13, 114–128 (2020).</w:t>
      </w:r>
    </w:p>
    <w:p w14:paraId="67107EE8" w14:textId="77777777" w:rsidR="00B463E1" w:rsidRDefault="00B463E1"/>
    <w:sectPr w:rsidR="00B463E1" w:rsidSect="00CE0784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637"/>
    <w:rsid w:val="00561F5C"/>
    <w:rsid w:val="007916D3"/>
    <w:rsid w:val="007D5A1F"/>
    <w:rsid w:val="00B40432"/>
    <w:rsid w:val="00B463E1"/>
    <w:rsid w:val="00F8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234A"/>
  <w15:chartTrackingRefBased/>
  <w15:docId w15:val="{95C4AEF6-2D7B-4E6A-BB80-6ACC76D3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3E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_Т_"/>
    <w:basedOn w:val="a"/>
    <w:qFormat/>
    <w:rsid w:val="00F83637"/>
    <w:pPr>
      <w:spacing w:after="0" w:line="360" w:lineRule="auto"/>
      <w:ind w:firstLine="709"/>
      <w:jc w:val="both"/>
    </w:pPr>
    <w:rPr>
      <w:rFonts w:cs="Times New Roman"/>
      <w:color w:val="000000" w:themeColor="text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Lenovo</cp:lastModifiedBy>
  <cp:revision>3</cp:revision>
  <dcterms:created xsi:type="dcterms:W3CDTF">2025-03-03T12:52:00Z</dcterms:created>
  <dcterms:modified xsi:type="dcterms:W3CDTF">2025-03-06T07:18:00Z</dcterms:modified>
</cp:coreProperties>
</file>