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Мониторинг деградации противоопухолевых белковых лекарственных препаратов при нарушении условий хранения</w:t>
      </w:r>
    </w:p>
    <w:p w:rsidR="00000000" w:rsidDel="00000000" w:rsidP="00000000" w:rsidRDefault="00000000" w:rsidRPr="00000000" w14:paraId="00000002">
      <w:pPr>
        <w:spacing w:before="240" w:lineRule="auto"/>
        <w:ind w:firstLine="400"/>
        <w:jc w:val="center"/>
        <w:rPr>
          <w:rFonts w:ascii="Times New Roman" w:cs="Times New Roman" w:eastAsia="Times New Roman" w:hAnsi="Times New Roman"/>
          <w:i w:val="1"/>
          <w:color w:val="4472c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24"/>
          <w:szCs w:val="24"/>
          <w:u w:val="single"/>
          <w:rtl w:val="0"/>
        </w:rPr>
        <w:t xml:space="preserve">Снигирева А.С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24"/>
          <w:szCs w:val="24"/>
          <w:rtl w:val="0"/>
        </w:rPr>
        <w:t xml:space="preserve">., Рубекина А.А.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24"/>
          <w:szCs w:val="24"/>
          <w:vertAlign w:val="superscript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0404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sz w:val="24"/>
          <w:szCs w:val="24"/>
          <w:rtl w:val="0"/>
        </w:rPr>
        <w:t xml:space="preserve">Студент, Младший научный сотрудник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sz w:val="24"/>
          <w:szCs w:val="24"/>
          <w:vertAlign w:val="superscript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sz w:val="24"/>
          <w:szCs w:val="24"/>
          <w:rtl w:val="0"/>
        </w:rPr>
        <w:t xml:space="preserve"> Московский государственный университет имени М.В. Ломоносова,</w:t>
        <w:br w:type="textWrapping"/>
        <w:t xml:space="preserve"> физический факультет, кафедра квантовой электроники, Москва, Россия</w:t>
        <w:br w:type="textWrapping"/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72c4"/>
          <w:sz w:val="24"/>
          <w:szCs w:val="24"/>
          <w:highlight w:val="white"/>
          <w:rtl w:val="0"/>
        </w:rPr>
        <w:t xml:space="preserve">snigireva.as20@physics.msu.ru</w:t>
      </w:r>
    </w:p>
    <w:p w:rsidR="00000000" w:rsidDel="00000000" w:rsidP="00000000" w:rsidRDefault="00000000" w:rsidRPr="00000000" w14:paraId="00000003">
      <w:pPr>
        <w:ind w:firstLine="0"/>
        <w:jc w:val="center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В настоящее время существует большое количество различных белковых лекарственных препаратов, в частности, противоопухолевых, предназначенных для инфузий. Срок годности и условия хранения таких препаратов устанавливаются на этапе производства, и их качество не оценивается врачом непосредственно перед введением. Однако при транспортировке и хранении лекарства могут быть нарушены предписанные условия, что может привести к его окислению и последующему образованию агрегатов, снижающих фармакологическую активность [1].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 При этом процессы деградации незаметны визуально без использования специального оборудования, а применение препарата ненадлежащего качества может причинить вред здоровью пациента. Кроме того, производство такого рода препаратов является дорогостоящим и технологически сложным процессом. Поэтому необходим мониторинг деградации лекарственных препаратов, вводимых в организм человека перед инфузией.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Некоторые противоопухолевые белковые лекарственные препараты состоят из моноклональных антител, в состав которых входят аминокислоты, в том числе, ароматические (Trp, Tyr, Phe). При окислении белков и аминокислот (ароматические аминокислоты хорошо подвержены окислению) образуются гетерогенные системы флуорофоров [5] – класс сложных полидисперсных систем, состоящих из большого числа (~</w:t>
      </w:r>
      <m:oMath>
        <m:sSup>
          <m:sSupPr>
            <m:ctrlPr>
              <w:rPr>
                <w:rFonts w:ascii="Times New Roman" w:cs="Times New Roman" w:eastAsia="Times New Roman" w:hAnsi="Times New Roman"/>
                <w:color w:val="404040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color w:val="404040"/>
                <w:sz w:val="24"/>
                <w:szCs w:val="24"/>
              </w:rPr>
              <m:t xml:space="preserve">10</m:t>
            </m:r>
          </m:e>
          <m:sup>
            <m:r>
              <w:rPr>
                <w:rFonts w:ascii="Times New Roman" w:cs="Times New Roman" w:eastAsia="Times New Roman" w:hAnsi="Times New Roman"/>
                <w:color w:val="404040"/>
                <w:sz w:val="24"/>
                <w:szCs w:val="24"/>
              </w:rPr>
              <m:t xml:space="preserve">4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) различных молекулярных компонент. </w:t>
      </w:r>
    </w:p>
    <w:p w:rsidR="00000000" w:rsidDel="00000000" w:rsidP="00000000" w:rsidRDefault="00000000" w:rsidRPr="00000000" w14:paraId="00000007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Исследования показали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[5],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 что при окислении ароматические аминокислоты приобретают нетипичные оптические свойства: экспоненциально убывающее с увеличением длины волны поглощение, наличие флуоресцентного отклика в красной и ближней инфракрасной областях спектра, изменение положения длины волны максимума эмиссии по мере увеличения длины волны возбуждения, в то время как у обычных флуоресцентных красителей спектры поглощения представляют собой полосы, а форма спектров флуоресценции не зависит от длины волны возбуждения. </w:t>
      </w:r>
    </w:p>
    <w:p w:rsidR="00000000" w:rsidDel="00000000" w:rsidP="00000000" w:rsidRDefault="00000000" w:rsidRPr="00000000" w14:paraId="00000008">
      <w:pPr>
        <w:spacing w:after="200"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Чувствительными методами, позволяющими отследить состояние белкового препарата, являются методы оптической спектроскопии. С их помощью можно анализировать процессы образования агрегатов и амилоидных фибрилл, а также изменения их оптических свойств при различных внешних воздействиях, например, температурном [3-4].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В качестве основного объекта исследования был выбран противоопухолевый лекарственный препарат ритуксимаб - первое моноклональное антитело класса IgG1, успешно использованное в онкогематологии для лечения неходжкинской лимфомы, ревматоидного полиартрита и хронического лимфолейкоза [5]. В его состав входят 50 ароматических аминокислот (Tyr, Trp, Phe). </w:t>
        <w:br w:type="textWrapping"/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Данная работа нацелена на определение стабильности ритуксимаба при различных стрессовых воздействиях, что позволит разработать маркеры для мониторинга качества препарата перед применением.</w:t>
      </w:r>
    </w:p>
    <w:p w:rsidR="00000000" w:rsidDel="00000000" w:rsidP="00000000" w:rsidRDefault="00000000" w:rsidRPr="00000000" w14:paraId="0000000B">
      <w:pPr>
        <w:spacing w:line="240" w:lineRule="auto"/>
        <w:ind w:left="396.85039370078744" w:firstLine="720.0000000000001"/>
        <w:jc w:val="both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Bansal, R., Dash, R., &amp; Rathore, A. S. (2020). Impact of mAb aggregation on its biological activity: rituximab as a case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Journal of Pharmaceutical Sciences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109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(9), 2684-2698.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Paul, M., Vieillard, V., Jaccoulet, E., &amp; Astier, A. (2012). Long-term stability of diluted solutions of the monoclonal antibody rituximab.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International journal of pharmaceutics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436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(1-2), 282-290.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Taboada, P., Barbosa, S., Castro, E., &amp; Mosquera, V. (2006). Amyloid fibril formation and other aggregate species formed by human serum albumin association.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The Journal of physical chemistry B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110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(42), 20733-20736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Tikhonova, T. N., Rovnyagina, N. R., Zherebker, A. Y., Sluchanko, N. N., Rubekina, A. A., Orekhov, A. S., ... &amp; Shirshin, E. A. (2018). Dissection of the deep-blue autofluorescence changes accompanying amyloid fibrillation.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Archives of biochemistry and biophysics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651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13-20.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Yakimov, B. P., Rubekina, A. A., Zherebker, A. Y., Budylin, G. S., Kompanets, V. O., Chekalin, S. V., ... &amp; Shirshin, E. A. (2022). Oxidation of individual aromatic species gives rise to humic-like optical properties.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  <w:rtl w:val="0"/>
        </w:rPr>
        <w:t xml:space="preserve">Environmental Science &amp; Technology Letters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d0d0d"/>
          <w:sz w:val="24"/>
          <w:szCs w:val="24"/>
          <w:highlight w:val="whit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(5), 452-458.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2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2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72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1.73228346456688" w:right="-17.5984251968498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106.574803149607" w:top="1133.8582677165355" w:left="1417.3228346456694" w:right="1440" w:header="1133.8582677165355" w:footer="1258.58267716535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