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Комбинация микрофлюидного чипа и сенсора на основе ФИС для выделения и детекции </w:t>
      </w:r>
      <w:r>
        <w:rPr>
          <w:b/>
          <w:sz w:val="24"/>
          <w:szCs w:val="24"/>
          <w:highlight w:val="white"/>
        </w:rPr>
        <w:t>малых внеклеточных везикул</w:t>
      </w:r>
      <w:r>
        <w:rPr>
          <w:b/>
          <w:color w:val="000000"/>
          <w:sz w:val="24"/>
          <w:szCs w:val="24"/>
          <w:highlight w:val="white"/>
        </w:rPr>
        <w:t>: ключевая роль модификации поверхности</w:t>
      </w:r>
    </w:p>
    <w:p w14:paraId="00000002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b/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Васильев С.Н.</w:t>
      </w:r>
      <w:r>
        <w:rPr>
          <w:b/>
          <w:color w:val="000000"/>
          <w:sz w:val="24"/>
          <w:szCs w:val="24"/>
          <w:highlight w:val="white"/>
          <w:vertAlign w:val="superscript"/>
        </w:rPr>
        <w:t>1a,б</w:t>
      </w:r>
      <w:r>
        <w:rPr>
          <w:b/>
          <w:i/>
          <w:color w:val="000000"/>
          <w:sz w:val="24"/>
          <w:szCs w:val="24"/>
          <w:highlight w:val="white"/>
        </w:rPr>
        <w:t>, Кузин А.Ю.</w:t>
      </w:r>
      <w:r>
        <w:rPr>
          <w:b/>
          <w:color w:val="000000"/>
          <w:sz w:val="24"/>
          <w:szCs w:val="24"/>
          <w:highlight w:val="white"/>
          <w:vertAlign w:val="superscript"/>
        </w:rPr>
        <w:t>2а,б,в</w:t>
      </w:r>
      <w:r>
        <w:rPr>
          <w:b/>
          <w:i/>
          <w:color w:val="000000"/>
          <w:sz w:val="24"/>
          <w:szCs w:val="24"/>
          <w:highlight w:val="white"/>
        </w:rPr>
        <w:t>, Флоря И.Н.</w:t>
      </w:r>
      <w:r>
        <w:rPr>
          <w:b/>
          <w:color w:val="000000"/>
          <w:sz w:val="24"/>
          <w:szCs w:val="24"/>
          <w:highlight w:val="white"/>
          <w:vertAlign w:val="superscript"/>
        </w:rPr>
        <w:t>3б</w:t>
      </w:r>
      <w:r>
        <w:rPr>
          <w:b/>
          <w:i/>
          <w:color w:val="000000"/>
          <w:sz w:val="24"/>
          <w:szCs w:val="24"/>
          <w:highlight w:val="white"/>
        </w:rPr>
        <w:t xml:space="preserve">, </w:t>
      </w:r>
      <w:r>
        <w:rPr>
          <w:b/>
          <w:i/>
          <w:sz w:val="24"/>
          <w:szCs w:val="24"/>
          <w:highlight w:val="white"/>
        </w:rPr>
        <w:t>Ковалюк В.В.</w:t>
      </w:r>
      <w:r>
        <w:rPr>
          <w:b/>
          <w:sz w:val="24"/>
          <w:szCs w:val="24"/>
          <w:highlight w:val="white"/>
          <w:vertAlign w:val="superscript"/>
        </w:rPr>
        <w:t>4б,в</w:t>
      </w:r>
      <w:r>
        <w:rPr>
          <w:b/>
          <w:i/>
          <w:sz w:val="24"/>
          <w:szCs w:val="24"/>
          <w:highlight w:val="white"/>
        </w:rPr>
        <w:t>,</w:t>
      </w:r>
      <w:r>
        <w:rPr>
          <w:b/>
          <w:i/>
          <w:color w:val="000000"/>
          <w:sz w:val="24"/>
          <w:szCs w:val="24"/>
          <w:highlight w:val="white"/>
        </w:rPr>
        <w:t xml:space="preserve"> </w:t>
      </w:r>
    </w:p>
    <w:p w14:paraId="00000003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Вильданова А.Р.</w:t>
      </w:r>
      <w:r>
        <w:rPr>
          <w:b/>
          <w:sz w:val="24"/>
          <w:szCs w:val="24"/>
          <w:highlight w:val="white"/>
          <w:vertAlign w:val="superscript"/>
        </w:rPr>
        <w:t>2a</w:t>
      </w:r>
      <w:r>
        <w:rPr>
          <w:b/>
          <w:i/>
          <w:sz w:val="24"/>
          <w:szCs w:val="24"/>
          <w:highlight w:val="white"/>
        </w:rPr>
        <w:t xml:space="preserve">, </w:t>
      </w:r>
      <w:r>
        <w:rPr>
          <w:b/>
          <w:sz w:val="24"/>
          <w:szCs w:val="24"/>
          <w:highlight w:val="white"/>
          <w:vertAlign w:val="superscript"/>
        </w:rPr>
        <w:t xml:space="preserve"> </w:t>
      </w:r>
      <w:r>
        <w:rPr>
          <w:b/>
          <w:i/>
          <w:sz w:val="24"/>
          <w:szCs w:val="24"/>
          <w:highlight w:val="white"/>
        </w:rPr>
        <w:t>Л</w:t>
      </w:r>
      <w:r>
        <w:rPr>
          <w:b/>
          <w:i/>
          <w:color w:val="000000"/>
          <w:sz w:val="24"/>
          <w:szCs w:val="24"/>
          <w:highlight w:val="white"/>
        </w:rPr>
        <w:t>учкин С.Ю.</w:t>
      </w:r>
      <w:r>
        <w:rPr>
          <w:b/>
          <w:sz w:val="24"/>
          <w:szCs w:val="24"/>
          <w:highlight w:val="white"/>
          <w:vertAlign w:val="superscript"/>
        </w:rPr>
        <w:t>5a</w:t>
      </w:r>
      <w:r>
        <w:rPr>
          <w:b/>
          <w:i/>
          <w:color w:val="000000"/>
          <w:sz w:val="24"/>
          <w:szCs w:val="24"/>
          <w:highlight w:val="white"/>
        </w:rPr>
        <w:t xml:space="preserve">, </w:t>
      </w:r>
      <w:r>
        <w:rPr>
          <w:b/>
          <w:i/>
          <w:sz w:val="24"/>
          <w:szCs w:val="24"/>
          <w:highlight w:val="white"/>
        </w:rPr>
        <w:t>Косолобов С.С.</w:t>
      </w:r>
      <w:r>
        <w:rPr>
          <w:b/>
          <w:sz w:val="24"/>
          <w:szCs w:val="24"/>
          <w:highlight w:val="white"/>
          <w:vertAlign w:val="superscript"/>
        </w:rPr>
        <w:t>7a</w:t>
      </w:r>
      <w:r>
        <w:rPr>
          <w:b/>
          <w:i/>
          <w:sz w:val="24"/>
          <w:szCs w:val="24"/>
          <w:highlight w:val="white"/>
        </w:rPr>
        <w:t xml:space="preserve">, </w:t>
      </w:r>
      <w:r>
        <w:rPr>
          <w:b/>
          <w:i/>
          <w:sz w:val="24"/>
          <w:szCs w:val="24"/>
          <w:highlight w:val="white"/>
        </w:rPr>
        <w:t>Гольцман Г.Н.</w:t>
      </w:r>
      <w:r>
        <w:rPr>
          <w:b/>
          <w:sz w:val="24"/>
          <w:szCs w:val="24"/>
          <w:highlight w:val="white"/>
          <w:vertAlign w:val="superscript"/>
        </w:rPr>
        <w:t>7в,д</w:t>
      </w:r>
      <w:r>
        <w:rPr>
          <w:b/>
          <w:i/>
          <w:sz w:val="24"/>
          <w:szCs w:val="24"/>
          <w:highlight w:val="white"/>
        </w:rPr>
        <w:t xml:space="preserve">, </w:t>
      </w:r>
    </w:p>
    <w:p w14:paraId="00000004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Чернышёв В.С.</w:t>
      </w:r>
      <w:r>
        <w:rPr>
          <w:b/>
          <w:sz w:val="24"/>
          <w:szCs w:val="24"/>
          <w:highlight w:val="white"/>
          <w:vertAlign w:val="superscript"/>
        </w:rPr>
        <w:t>6а,г</w:t>
      </w:r>
      <w:r>
        <w:rPr>
          <w:b/>
          <w:i/>
          <w:sz w:val="24"/>
          <w:szCs w:val="24"/>
          <w:highlight w:val="white"/>
        </w:rPr>
        <w:t>, Г</w:t>
      </w:r>
      <w:r>
        <w:rPr>
          <w:b/>
          <w:i/>
          <w:color w:val="000000"/>
          <w:sz w:val="24"/>
          <w:szCs w:val="24"/>
          <w:highlight w:val="white"/>
        </w:rPr>
        <w:t>орин Д.А.</w:t>
      </w:r>
      <w:r>
        <w:rPr>
          <w:b/>
          <w:sz w:val="24"/>
          <w:szCs w:val="24"/>
          <w:highlight w:val="white"/>
          <w:vertAlign w:val="superscript"/>
        </w:rPr>
        <w:t>8</w:t>
      </w:r>
      <w:r>
        <w:rPr>
          <w:b/>
          <w:color w:val="000000"/>
          <w:sz w:val="24"/>
          <w:szCs w:val="24"/>
          <w:highlight w:val="white"/>
          <w:vertAlign w:val="superscript"/>
        </w:rPr>
        <w:t>а</w:t>
      </w:r>
    </w:p>
    <w:p w14:paraId="00000005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  <w:vertAlign w:val="superscript"/>
        </w:rPr>
        <w:t>1</w:t>
      </w:r>
      <w:r>
        <w:rPr>
          <w:i/>
          <w:color w:val="000000"/>
          <w:sz w:val="24"/>
          <w:szCs w:val="24"/>
          <w:highlight w:val="white"/>
        </w:rPr>
        <w:t xml:space="preserve">студент, </w:t>
      </w:r>
      <w:r>
        <w:rPr>
          <w:color w:val="000000"/>
          <w:sz w:val="24"/>
          <w:szCs w:val="24"/>
          <w:highlight w:val="white"/>
          <w:vertAlign w:val="superscript"/>
        </w:rPr>
        <w:t>2</w:t>
      </w:r>
      <w:r>
        <w:rPr>
          <w:i/>
          <w:color w:val="000000"/>
          <w:sz w:val="24"/>
          <w:szCs w:val="24"/>
          <w:highlight w:val="white"/>
        </w:rPr>
        <w:t xml:space="preserve">аспирант, </w:t>
      </w:r>
      <w:r>
        <w:rPr>
          <w:color w:val="000000"/>
          <w:sz w:val="24"/>
          <w:szCs w:val="24"/>
          <w:highlight w:val="white"/>
          <w:vertAlign w:val="superscript"/>
        </w:rPr>
        <w:t>3</w:t>
      </w:r>
      <w:r>
        <w:rPr>
          <w:i/>
          <w:color w:val="000000"/>
          <w:sz w:val="24"/>
          <w:szCs w:val="24"/>
          <w:highlight w:val="white"/>
        </w:rPr>
        <w:t>научный сотрудник</w:t>
      </w:r>
      <w:r>
        <w:rPr>
          <w:i/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  <w:vertAlign w:val="superscript"/>
        </w:rPr>
        <w:t>4</w:t>
      </w:r>
      <w:r>
        <w:rPr>
          <w:i/>
          <w:sz w:val="24"/>
          <w:szCs w:val="24"/>
          <w:highlight w:val="white"/>
        </w:rPr>
        <w:t xml:space="preserve">к.ф-м.н., </w:t>
      </w:r>
      <w:r>
        <w:rPr>
          <w:sz w:val="24"/>
          <w:szCs w:val="24"/>
          <w:highlight w:val="white"/>
          <w:vertAlign w:val="superscript"/>
        </w:rPr>
        <w:t>5</w:t>
      </w:r>
      <w:r>
        <w:rPr>
          <w:i/>
          <w:sz w:val="24"/>
          <w:szCs w:val="24"/>
          <w:highlight w:val="white"/>
        </w:rPr>
        <w:t xml:space="preserve">к.х.н., </w:t>
      </w:r>
      <w:r>
        <w:rPr>
          <w:sz w:val="24"/>
          <w:szCs w:val="24"/>
          <w:highlight w:val="white"/>
          <w:vertAlign w:val="superscript"/>
        </w:rPr>
        <w:t>6</w:t>
      </w:r>
      <w:r>
        <w:rPr>
          <w:i/>
          <w:sz w:val="24"/>
          <w:szCs w:val="24"/>
          <w:highlight w:val="white"/>
        </w:rPr>
        <w:t xml:space="preserve">к.т.н., </w:t>
      </w:r>
      <w:r>
        <w:rPr>
          <w:sz w:val="24"/>
          <w:szCs w:val="24"/>
          <w:highlight w:val="white"/>
          <w:vertAlign w:val="superscript"/>
        </w:rPr>
        <w:t>7</w:t>
      </w:r>
      <w:r>
        <w:rPr>
          <w:i/>
          <w:sz w:val="24"/>
          <w:szCs w:val="24"/>
          <w:highlight w:val="white"/>
        </w:rPr>
        <w:t xml:space="preserve">д.ф-м.н., </w:t>
      </w:r>
      <w:r>
        <w:rPr>
          <w:sz w:val="24"/>
          <w:szCs w:val="24"/>
          <w:highlight w:val="white"/>
          <w:vertAlign w:val="superscript"/>
        </w:rPr>
        <w:t>8</w:t>
      </w:r>
      <w:r>
        <w:rPr>
          <w:i/>
          <w:sz w:val="24"/>
          <w:szCs w:val="24"/>
          <w:highlight w:val="white"/>
        </w:rPr>
        <w:t>д.х.н.</w:t>
      </w:r>
    </w:p>
    <w:p w14:paraId="00000006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  <w:vertAlign w:val="superscript"/>
        </w:rPr>
        <w:t>a</w:t>
      </w:r>
      <w:r>
        <w:rPr>
          <w:i/>
          <w:color w:val="000000"/>
          <w:sz w:val="24"/>
          <w:szCs w:val="24"/>
          <w:highlight w:val="white"/>
        </w:rPr>
        <w:t xml:space="preserve">Сколковский институт наук и технологий, </w:t>
      </w:r>
      <w:r>
        <w:rPr>
          <w:i/>
          <w:sz w:val="24"/>
          <w:szCs w:val="24"/>
          <w:highlight w:val="white"/>
        </w:rPr>
        <w:t>Москва, Россия</w:t>
      </w:r>
    </w:p>
    <w:p w14:paraId="00000007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  <w:vertAlign w:val="superscript"/>
        </w:rPr>
        <w:t>б</w:t>
      </w:r>
      <w:r>
        <w:rPr>
          <w:i/>
          <w:sz w:val="24"/>
          <w:szCs w:val="24"/>
          <w:highlight w:val="white"/>
        </w:rPr>
        <w:t>Университет науки и технологий МИСИС, Москва, Россия</w:t>
      </w:r>
    </w:p>
    <w:p w14:paraId="00000008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  <w:vertAlign w:val="superscript"/>
        </w:rPr>
        <w:t>в</w:t>
      </w:r>
      <w:r>
        <w:rPr>
          <w:i/>
          <w:sz w:val="24"/>
          <w:szCs w:val="24"/>
          <w:highlight w:val="white"/>
        </w:rPr>
        <w:t>НИУ «Высшая школа экономики», Москва, Россия</w:t>
      </w:r>
    </w:p>
    <w:p w14:paraId="00000009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  <w:vertAlign w:val="superscript"/>
        </w:rPr>
        <w:t>г</w:t>
      </w:r>
      <w:r>
        <w:rPr>
          <w:i/>
          <w:sz w:val="24"/>
          <w:szCs w:val="24"/>
          <w:highlight w:val="white"/>
        </w:rPr>
        <w:t>НМИЦ АГП им. В.И. Кулакова, Москва, Россия</w:t>
      </w:r>
    </w:p>
    <w:p w14:paraId="0000000A" w14:textId="77777777" w:rsidR="00BE671E" w:rsidRDefault="00C57D19">
      <w:pPr>
        <w:ind w:firstLine="426"/>
        <w:jc w:val="center"/>
        <w:rPr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  <w:vertAlign w:val="superscript"/>
        </w:rPr>
        <w:t>д</w:t>
      </w:r>
      <w:r>
        <w:rPr>
          <w:i/>
          <w:sz w:val="24"/>
          <w:szCs w:val="24"/>
          <w:highlight w:val="white"/>
        </w:rPr>
        <w:t>Российский квантовый центр, Москва, Россия</w:t>
      </w:r>
    </w:p>
    <w:p w14:paraId="0000000B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426"/>
        <w:jc w:val="center"/>
        <w:rPr>
          <w:i/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E–mail</w:t>
      </w:r>
      <w:r>
        <w:rPr>
          <w:color w:val="000000"/>
          <w:sz w:val="24"/>
          <w:szCs w:val="24"/>
          <w:highlight w:val="white"/>
        </w:rPr>
        <w:t xml:space="preserve">: </w:t>
      </w:r>
      <w:hyperlink r:id="rId7">
        <w:r>
          <w:rPr>
            <w:i/>
            <w:color w:val="1155CC"/>
            <w:sz w:val="24"/>
            <w:szCs w:val="24"/>
            <w:highlight w:val="white"/>
            <w:u w:val="single"/>
          </w:rPr>
          <w:t>vsandal2002@mail.ru</w:t>
        </w:r>
      </w:hyperlink>
    </w:p>
    <w:p w14:paraId="0000000C" w14:textId="7E56A678" w:rsidR="00BE671E" w:rsidRDefault="00C57D19" w:rsidP="00781377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Рак молочной железы (РМЖ) является одним из самых распространенных онкологических заболеваний по всему миру среди женщин</w:t>
      </w:r>
      <w:r>
        <w:rPr>
          <w:sz w:val="24"/>
          <w:szCs w:val="24"/>
          <w:highlight w:val="white"/>
        </w:rPr>
        <w:t>. За 2020 год было выявлено 2,3 млн новых случаев и 685000 смертей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 мире, что соответствует 16% смертей от рака у женщин </w:t>
      </w:r>
      <w:r>
        <w:rPr>
          <w:color w:val="000000"/>
          <w:sz w:val="24"/>
          <w:szCs w:val="24"/>
          <w:highlight w:val="white"/>
        </w:rPr>
        <w:t xml:space="preserve">[1]. </w:t>
      </w:r>
      <w:r>
        <w:rPr>
          <w:sz w:val="24"/>
          <w:szCs w:val="24"/>
          <w:highlight w:val="white"/>
        </w:rPr>
        <w:t>На данный момент, стоит важная задача по диагностике HER2-положительного РМЖ, сопровождающегося более высокой вероятностью летального исхода по сравнению с HER2-отрицательным РМЖ [2]. При протекан</w:t>
      </w:r>
      <w:r>
        <w:rPr>
          <w:sz w:val="24"/>
          <w:szCs w:val="24"/>
          <w:highlight w:val="white"/>
        </w:rPr>
        <w:t xml:space="preserve">ии данного онкологического заболевания, в популяции </w:t>
      </w:r>
      <w:r w:rsidR="00781377">
        <w:rPr>
          <w:sz w:val="24"/>
          <w:szCs w:val="24"/>
          <w:highlight w:val="white"/>
        </w:rPr>
        <w:t>малых внеклеточных везикул,</w:t>
      </w:r>
      <w:r>
        <w:rPr>
          <w:sz w:val="24"/>
          <w:szCs w:val="24"/>
          <w:highlight w:val="white"/>
        </w:rPr>
        <w:t xml:space="preserve"> высвобождаемых опухолевыми клетками</w:t>
      </w:r>
      <w:r w:rsidR="00781377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прослеживается высокое содержание HER2-мембранных белков [3]. </w:t>
      </w:r>
      <w:r>
        <w:rPr>
          <w:color w:val="000000"/>
          <w:sz w:val="24"/>
          <w:szCs w:val="24"/>
          <w:highlight w:val="white"/>
        </w:rPr>
        <w:t>Разработка методов диагностики</w:t>
      </w:r>
      <w:r>
        <w:rPr>
          <w:sz w:val="24"/>
          <w:szCs w:val="24"/>
          <w:highlight w:val="white"/>
        </w:rPr>
        <w:t xml:space="preserve"> и оценка эффективности терапии РМЖ на основе ана</w:t>
      </w:r>
      <w:r>
        <w:rPr>
          <w:sz w:val="24"/>
          <w:szCs w:val="24"/>
          <w:highlight w:val="white"/>
        </w:rPr>
        <w:t xml:space="preserve">лиза тканеспецифических малых внеклеточных везикул </w:t>
      </w:r>
      <w:r>
        <w:rPr>
          <w:color w:val="000000"/>
          <w:sz w:val="24"/>
          <w:szCs w:val="24"/>
          <w:highlight w:val="white"/>
        </w:rPr>
        <w:t xml:space="preserve">является актуальной задачей современной клинической </w:t>
      </w:r>
      <w:r>
        <w:rPr>
          <w:sz w:val="24"/>
          <w:szCs w:val="24"/>
          <w:highlight w:val="white"/>
        </w:rPr>
        <w:t>онкологии</w:t>
      </w:r>
      <w:r>
        <w:rPr>
          <w:color w:val="000000"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 xml:space="preserve"> Золотым стандартом современной диагностики является биопсия патологических тканей, однако недостатком данного подхода является инвазивность. В</w:t>
      </w:r>
      <w:r>
        <w:rPr>
          <w:sz w:val="24"/>
          <w:szCs w:val="24"/>
          <w:highlight w:val="white"/>
        </w:rPr>
        <w:t xml:space="preserve"> настоящее время альтернативный подход связан с анализом биологических жидкостей, например плазмы крови или мочи пациентов, так называемой ”жидкостной биопсии”. В качестве маркеров патологического состояния используются циркулирующая ДНК [4], малые внеклет</w:t>
      </w:r>
      <w:r>
        <w:rPr>
          <w:sz w:val="24"/>
          <w:szCs w:val="24"/>
          <w:highlight w:val="white"/>
        </w:rPr>
        <w:t>очные везикулы [5] и циркулирующие опухолевые клетки [6]. Малые внеклеточные везикулы (МВВ) диаметром 30 - 100 нм, являются перспективными маркерами для диагностики онкологических заболеваний. Благодаря защите фосфолипидного бислоя, МВВ являются более стаб</w:t>
      </w:r>
      <w:r>
        <w:rPr>
          <w:sz w:val="24"/>
          <w:szCs w:val="24"/>
          <w:highlight w:val="white"/>
        </w:rPr>
        <w:t>ильными в жидкости по сравнению с циркулирующей ДНК [7]. МВВ перспективны для ранней диагностики онкологических заболеваний в отличие от циркулирующих опухолевых клеток, которые появляются в плазме на поздних стадиях развития опухоли [7]. Среди существующи</w:t>
      </w:r>
      <w:r>
        <w:rPr>
          <w:sz w:val="24"/>
          <w:szCs w:val="24"/>
          <w:highlight w:val="white"/>
        </w:rPr>
        <w:t>х методов выделения и обнаружения</w:t>
      </w:r>
      <w:r>
        <w:rPr>
          <w:color w:val="0000FF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МВВ используются различные методы такие, как дифференциальное центрифугирование, фильтрация, хроматография и </w:t>
      </w:r>
      <w:r w:rsidR="00781377">
        <w:rPr>
          <w:sz w:val="24"/>
          <w:szCs w:val="24"/>
          <w:highlight w:val="white"/>
        </w:rPr>
        <w:t>др.</w:t>
      </w:r>
      <w:r>
        <w:rPr>
          <w:sz w:val="24"/>
          <w:szCs w:val="24"/>
          <w:highlight w:val="white"/>
        </w:rPr>
        <w:t xml:space="preserve"> [8]. На данный момент, перспективным устройством для детекции</w:t>
      </w:r>
      <w:r>
        <w:rPr>
          <w:color w:val="0000FF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МВВ являются оптические сенсоры благодаря своей </w:t>
      </w:r>
      <w:r>
        <w:rPr>
          <w:sz w:val="24"/>
          <w:szCs w:val="24"/>
          <w:highlight w:val="white"/>
        </w:rPr>
        <w:t xml:space="preserve">высокой чувствительности и специфичности. Одним из наиболее перспективных оптических сенсоров являются фотонные интегральные схемы (ФИС) [9]. В комбинации с микрофлюидикой </w:t>
      </w:r>
      <w:r>
        <w:rPr>
          <w:sz w:val="24"/>
          <w:szCs w:val="24"/>
        </w:rPr>
        <w:t>такие ФИС могут стать эффективным медицинским инструментом</w:t>
      </w:r>
      <w:r>
        <w:rPr>
          <w:sz w:val="24"/>
          <w:szCs w:val="24"/>
          <w:highlight w:val="white"/>
        </w:rPr>
        <w:t xml:space="preserve"> ранней диагностики и оцен</w:t>
      </w:r>
      <w:r>
        <w:rPr>
          <w:sz w:val="24"/>
          <w:szCs w:val="24"/>
          <w:highlight w:val="white"/>
        </w:rPr>
        <w:t>ки эффективности заболеваний. Однако, ФИС, в общем случае, реагируют только на изменение эффективного показателя преломления и не обладают необходимой специфичностью [10].</w:t>
      </w:r>
      <w:r>
        <w:rPr>
          <w:color w:val="0000FF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Поэтому необходима модификация чувствительной части специфическими молекулами (антит</w:t>
      </w:r>
      <w:r>
        <w:rPr>
          <w:sz w:val="24"/>
          <w:szCs w:val="24"/>
          <w:highlight w:val="white"/>
        </w:rPr>
        <w:t>ела, аптамеры или дарпины) для того, чтобы связывать на поверх</w:t>
      </w:r>
      <w:r w:rsidR="00781377">
        <w:rPr>
          <w:sz w:val="24"/>
          <w:szCs w:val="24"/>
          <w:highlight w:val="white"/>
        </w:rPr>
        <w:t>ности сенсора опухолевые МВВ.</w:t>
      </w:r>
    </w:p>
    <w:p w14:paraId="0000000D" w14:textId="71EBDAB4" w:rsidR="00BE671E" w:rsidRDefault="00C57D19" w:rsidP="00781377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 предыдущей работе нами была показана использование дарпинов</w:t>
      </w:r>
      <w:r>
        <w:rPr>
          <w:color w:val="0000FF"/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>специфичных к связыванию HER2-мембранных белков, для выделения и детекции МВВ, используя интерферо</w:t>
      </w:r>
      <w:r>
        <w:rPr>
          <w:sz w:val="24"/>
          <w:szCs w:val="24"/>
          <w:highlight w:val="white"/>
        </w:rPr>
        <w:t xml:space="preserve">метр Маха-Цендера [11]. Доказана специфичность сенсора, а именно для МВВ, выделенных из клеточной линии с повышенной экспрессией HER2 рецептора характерен больший сдвиг резонансной длины волны, по сравнению с МВВ, выделенными из </w:t>
      </w:r>
      <w:r>
        <w:rPr>
          <w:sz w:val="24"/>
          <w:szCs w:val="24"/>
          <w:highlight w:val="white"/>
        </w:rPr>
        <w:lastRenderedPageBreak/>
        <w:t>клеточной линии с существен</w:t>
      </w:r>
      <w:r>
        <w:rPr>
          <w:sz w:val="24"/>
          <w:szCs w:val="24"/>
          <w:highlight w:val="white"/>
        </w:rPr>
        <w:t xml:space="preserve">но меньшей экспрессией HER2 рецептора. Однако, концентрация МВВ, при которой сенсор был специфичен </w:t>
      </w:r>
      <w:r>
        <w:rPr>
          <w:rFonts w:ascii="Gungsuh" w:eastAsia="Gungsuh" w:hAnsi="Gungsuh" w:cs="Gungsuh"/>
          <w:sz w:val="24"/>
          <w:szCs w:val="24"/>
          <w:highlight w:val="white"/>
        </w:rPr>
        <w:t>(около 4,2 ⋅10</w:t>
      </w:r>
      <w:r>
        <w:rPr>
          <w:sz w:val="24"/>
          <w:szCs w:val="24"/>
          <w:highlight w:val="white"/>
          <w:vertAlign w:val="superscript"/>
        </w:rPr>
        <w:t>10</w:t>
      </w:r>
      <w:r>
        <w:rPr>
          <w:sz w:val="24"/>
          <w:szCs w:val="24"/>
          <w:highlight w:val="white"/>
        </w:rPr>
        <w:t xml:space="preserve"> мл</w:t>
      </w:r>
      <w:r>
        <w:rPr>
          <w:sz w:val="24"/>
          <w:szCs w:val="24"/>
          <w:highlight w:val="white"/>
          <w:vertAlign w:val="superscript"/>
        </w:rPr>
        <w:t>-1</w:t>
      </w:r>
      <w:r>
        <w:rPr>
          <w:sz w:val="24"/>
          <w:szCs w:val="24"/>
          <w:highlight w:val="white"/>
        </w:rPr>
        <w:t xml:space="preserve">), может быть значительно уменьшена с помощью протокола модификации, </w:t>
      </w:r>
      <w:r w:rsidR="00781377">
        <w:rPr>
          <w:sz w:val="24"/>
          <w:szCs w:val="24"/>
          <w:highlight w:val="white"/>
        </w:rPr>
        <w:t>обеспечивающего большую</w:t>
      </w:r>
      <w:r>
        <w:rPr>
          <w:sz w:val="24"/>
          <w:szCs w:val="24"/>
          <w:highlight w:val="white"/>
        </w:rPr>
        <w:t xml:space="preserve"> концентрацию распознающих </w:t>
      </w:r>
      <w:r w:rsidR="00781377">
        <w:rPr>
          <w:sz w:val="24"/>
          <w:szCs w:val="24"/>
          <w:highlight w:val="white"/>
        </w:rPr>
        <w:t>молекул на</w:t>
      </w:r>
      <w:r>
        <w:rPr>
          <w:sz w:val="24"/>
          <w:szCs w:val="24"/>
          <w:highlight w:val="white"/>
        </w:rPr>
        <w:t xml:space="preserve"> чувс</w:t>
      </w:r>
      <w:r>
        <w:rPr>
          <w:sz w:val="24"/>
          <w:szCs w:val="24"/>
          <w:highlight w:val="white"/>
        </w:rPr>
        <w:t>твительной части ФИС.</w:t>
      </w:r>
      <w:r>
        <w:rPr>
          <w:sz w:val="24"/>
          <w:szCs w:val="24"/>
        </w:rPr>
        <w:t xml:space="preserve"> </w:t>
      </w:r>
    </w:p>
    <w:p w14:paraId="0000000E" w14:textId="77777777" w:rsidR="00BE671E" w:rsidRDefault="00C57D19" w:rsidP="00781377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В рамках данной работы была разработана методика модификации поверхности нитрида кремния для выделения и </w:t>
      </w:r>
      <w:r>
        <w:rPr>
          <w:sz w:val="24"/>
          <w:szCs w:val="24"/>
          <w:highlight w:val="white"/>
        </w:rPr>
        <w:t>обнаружения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МВВ</w:t>
      </w:r>
      <w:r>
        <w:rPr>
          <w:color w:val="000000"/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>В о</w:t>
      </w:r>
      <w:r>
        <w:rPr>
          <w:sz w:val="24"/>
          <w:szCs w:val="24"/>
          <w:highlight w:val="white"/>
        </w:rPr>
        <w:t>тличие от работ [11, 12]</w:t>
      </w:r>
      <w:r>
        <w:rPr>
          <w:sz w:val="24"/>
          <w:szCs w:val="24"/>
          <w:highlight w:val="white"/>
        </w:rPr>
        <w:t xml:space="preserve">, в качестве рецептора были использованы аптамеры вместо антител и дарпинов. Аптамеры обладают рядом преимуществ таких, как меньшие размеры, универсальность технологии синтеза для новых мишеней [13]. Разработанный в работе протокол </w:t>
      </w:r>
      <w:r>
        <w:rPr>
          <w:sz w:val="24"/>
          <w:szCs w:val="24"/>
          <w:highlight w:val="white"/>
        </w:rPr>
        <w:t xml:space="preserve">модификации поверхности </w:t>
      </w:r>
      <w:r>
        <w:rPr>
          <w:sz w:val="24"/>
          <w:szCs w:val="24"/>
          <w:highlight w:val="white"/>
        </w:rPr>
        <w:t>ФИС заключался в последовательном нанесени</w:t>
      </w:r>
      <w:r>
        <w:rPr>
          <w:sz w:val="24"/>
          <w:szCs w:val="24"/>
          <w:highlight w:val="white"/>
        </w:rPr>
        <w:t>и</w:t>
      </w:r>
      <w:r>
        <w:rPr>
          <w:color w:val="000000"/>
          <w:sz w:val="24"/>
          <w:szCs w:val="24"/>
          <w:highlight w:val="white"/>
        </w:rPr>
        <w:t xml:space="preserve"> следующих слоёв: </w:t>
      </w:r>
      <w:r>
        <w:rPr>
          <w:sz w:val="24"/>
          <w:szCs w:val="24"/>
          <w:highlight w:val="white"/>
        </w:rPr>
        <w:t>(3-аминопропил) триэтоксисилан (APTES)</w:t>
      </w:r>
      <w:r>
        <w:rPr>
          <w:color w:val="000000"/>
          <w:sz w:val="24"/>
          <w:szCs w:val="24"/>
          <w:highlight w:val="white"/>
        </w:rPr>
        <w:t xml:space="preserve">, глутаральдегид, аптамер, с последующей прокачкой </w:t>
      </w:r>
      <w:r>
        <w:rPr>
          <w:sz w:val="24"/>
          <w:szCs w:val="24"/>
          <w:highlight w:val="white"/>
        </w:rPr>
        <w:t>аналита</w:t>
      </w:r>
      <w:r>
        <w:rPr>
          <w:color w:val="000000"/>
          <w:sz w:val="24"/>
          <w:szCs w:val="24"/>
          <w:highlight w:val="white"/>
        </w:rPr>
        <w:t xml:space="preserve"> - </w:t>
      </w:r>
      <w:r>
        <w:rPr>
          <w:sz w:val="24"/>
          <w:szCs w:val="24"/>
          <w:highlight w:val="white"/>
        </w:rPr>
        <w:t>МВВ</w:t>
      </w:r>
      <w:r>
        <w:rPr>
          <w:color w:val="000000"/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>Были использованы МВВ, выделенные из клеточной линии HCT116, и МВВ от здорового донора. Мод</w:t>
      </w:r>
      <w:r>
        <w:rPr>
          <w:sz w:val="24"/>
          <w:szCs w:val="24"/>
          <w:highlight w:val="white"/>
        </w:rPr>
        <w:t xml:space="preserve">ификация поверхности подтверждалась с помощью </w:t>
      </w:r>
      <w:r>
        <w:rPr>
          <w:color w:val="000000"/>
          <w:sz w:val="24"/>
          <w:szCs w:val="24"/>
          <w:highlight w:val="white"/>
        </w:rPr>
        <w:t>измерени</w:t>
      </w:r>
      <w:r>
        <w:rPr>
          <w:sz w:val="24"/>
          <w:szCs w:val="24"/>
          <w:highlight w:val="white"/>
        </w:rPr>
        <w:t>я</w:t>
      </w:r>
      <w:r>
        <w:rPr>
          <w:color w:val="000000"/>
          <w:sz w:val="24"/>
          <w:szCs w:val="24"/>
          <w:highlight w:val="white"/>
        </w:rPr>
        <w:t xml:space="preserve"> контактного угла, метода зонда Кельвина, АСМ, флуоресцентн</w:t>
      </w:r>
      <w:r>
        <w:rPr>
          <w:sz w:val="24"/>
          <w:szCs w:val="24"/>
          <w:highlight w:val="white"/>
        </w:rPr>
        <w:t>ой</w:t>
      </w:r>
      <w:r>
        <w:rPr>
          <w:color w:val="000000"/>
          <w:sz w:val="24"/>
          <w:szCs w:val="24"/>
          <w:highlight w:val="white"/>
        </w:rPr>
        <w:t xml:space="preserve"> микроскопи</w:t>
      </w:r>
      <w:r>
        <w:rPr>
          <w:sz w:val="24"/>
          <w:szCs w:val="24"/>
          <w:highlight w:val="white"/>
        </w:rPr>
        <w:t>и (ФМ)</w:t>
      </w:r>
      <w:r>
        <w:rPr>
          <w:color w:val="000000"/>
          <w:sz w:val="24"/>
          <w:szCs w:val="24"/>
          <w:highlight w:val="white"/>
        </w:rPr>
        <w:t xml:space="preserve">. Была </w:t>
      </w:r>
      <w:r>
        <w:rPr>
          <w:sz w:val="24"/>
          <w:szCs w:val="24"/>
          <w:highlight w:val="white"/>
        </w:rPr>
        <w:t xml:space="preserve">изучена </w:t>
      </w:r>
      <w:r>
        <w:rPr>
          <w:color w:val="000000"/>
          <w:sz w:val="24"/>
          <w:szCs w:val="24"/>
          <w:highlight w:val="white"/>
        </w:rPr>
        <w:t xml:space="preserve">зависимость эффективности модификации аптамера от времени инкубации при помощи </w:t>
      </w:r>
      <w:r>
        <w:rPr>
          <w:sz w:val="24"/>
          <w:szCs w:val="24"/>
          <w:highlight w:val="white"/>
        </w:rPr>
        <w:t>ФМ</w:t>
      </w:r>
      <w:r>
        <w:rPr>
          <w:color w:val="000000"/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>Продолжение данного иссле</w:t>
      </w:r>
      <w:r>
        <w:rPr>
          <w:sz w:val="24"/>
          <w:szCs w:val="24"/>
          <w:highlight w:val="white"/>
        </w:rPr>
        <w:t>дования будет связано</w:t>
      </w:r>
      <w:r>
        <w:rPr>
          <w:color w:val="000000"/>
          <w:sz w:val="24"/>
          <w:szCs w:val="24"/>
          <w:highlight w:val="white"/>
        </w:rPr>
        <w:t xml:space="preserve"> с </w:t>
      </w:r>
      <w:r>
        <w:rPr>
          <w:sz w:val="24"/>
          <w:szCs w:val="24"/>
          <w:highlight w:val="white"/>
        </w:rPr>
        <w:t>отработк</w:t>
      </w:r>
      <w:r>
        <w:rPr>
          <w:sz w:val="24"/>
          <w:szCs w:val="24"/>
          <w:highlight w:val="white"/>
        </w:rPr>
        <w:t>ой</w:t>
      </w:r>
      <w:r>
        <w:rPr>
          <w:color w:val="000000"/>
          <w:sz w:val="24"/>
          <w:szCs w:val="24"/>
          <w:highlight w:val="white"/>
        </w:rPr>
        <w:t xml:space="preserve"> протокола модификации пов</w:t>
      </w:r>
      <w:r>
        <w:rPr>
          <w:sz w:val="24"/>
          <w:szCs w:val="24"/>
          <w:highlight w:val="white"/>
        </w:rPr>
        <w:t xml:space="preserve">ерхности ФИС </w:t>
      </w:r>
      <w:r>
        <w:rPr>
          <w:color w:val="000000"/>
          <w:sz w:val="24"/>
          <w:szCs w:val="24"/>
          <w:highlight w:val="white"/>
        </w:rPr>
        <w:t>с использованием микрофлюид</w:t>
      </w:r>
      <w:r>
        <w:rPr>
          <w:sz w:val="24"/>
          <w:szCs w:val="24"/>
          <w:highlight w:val="white"/>
        </w:rPr>
        <w:t>ного устройства</w:t>
      </w:r>
      <w:r>
        <w:rPr>
          <w:color w:val="000000"/>
          <w:sz w:val="24"/>
          <w:szCs w:val="24"/>
          <w:highlight w:val="white"/>
        </w:rPr>
        <w:t xml:space="preserve">; </w:t>
      </w:r>
      <w:r>
        <w:rPr>
          <w:sz w:val="24"/>
          <w:szCs w:val="24"/>
          <w:highlight w:val="white"/>
        </w:rPr>
        <w:t>измерением с</w:t>
      </w:r>
      <w:r>
        <w:rPr>
          <w:color w:val="000000"/>
          <w:sz w:val="24"/>
          <w:szCs w:val="24"/>
          <w:highlight w:val="white"/>
        </w:rPr>
        <w:t xml:space="preserve">пектров пропускания </w:t>
      </w:r>
      <w:r>
        <w:rPr>
          <w:sz w:val="24"/>
          <w:szCs w:val="24"/>
          <w:highlight w:val="white"/>
        </w:rPr>
        <w:t>интерферометров Маха-Цендера</w:t>
      </w:r>
      <w:r>
        <w:rPr>
          <w:color w:val="000000"/>
          <w:sz w:val="24"/>
          <w:szCs w:val="24"/>
          <w:highlight w:val="white"/>
        </w:rPr>
        <w:t xml:space="preserve"> в режиме реального времени. Будут измерены сдвиги резонансной длины волны для </w:t>
      </w:r>
      <w:r>
        <w:rPr>
          <w:color w:val="000000"/>
          <w:sz w:val="24"/>
          <w:szCs w:val="24"/>
          <w:highlight w:val="white"/>
        </w:rPr>
        <w:t>всех этапов модификации</w:t>
      </w:r>
      <w:r>
        <w:rPr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проведены оценки предела обнаружения, чувствительности и специфичности устройства.</w:t>
      </w:r>
    </w:p>
    <w:p w14:paraId="0000000F" w14:textId="1F9419D5" w:rsidR="00BE671E" w:rsidRDefault="00C57D19" w:rsidP="00781377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Работа выполнена при </w:t>
      </w:r>
      <w:r>
        <w:rPr>
          <w:sz w:val="24"/>
          <w:szCs w:val="24"/>
        </w:rPr>
        <w:t>финансовой поддержке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РНФ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23-13-00035 (выделение внеклеточных везикул</w:t>
      </w:r>
      <w:r>
        <w:rPr>
          <w:sz w:val="24"/>
          <w:szCs w:val="24"/>
        </w:rPr>
        <w:t>, изготовление микрофлюидных каналов</w:t>
      </w:r>
      <w:r>
        <w:rPr>
          <w:sz w:val="24"/>
          <w:szCs w:val="24"/>
        </w:rPr>
        <w:t>) и Министерств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науки и высшего образования Р</w:t>
      </w:r>
      <w:r w:rsidR="00781377">
        <w:rPr>
          <w:sz w:val="24"/>
          <w:szCs w:val="24"/>
        </w:rPr>
        <w:t>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FSME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-000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изготовление ФИС).</w:t>
      </w:r>
    </w:p>
    <w:p w14:paraId="00000010" w14:textId="77777777" w:rsidR="00BE671E" w:rsidRDefault="00C57D19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Литература</w:t>
      </w:r>
    </w:p>
    <w:p w14:paraId="00000011" w14:textId="77777777" w:rsidR="00BE671E" w:rsidRPr="00781377" w:rsidRDefault="00C57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M. Arnold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The Breast</w:t>
      </w:r>
      <w:r w:rsidRPr="00781377">
        <w:rPr>
          <w:sz w:val="24"/>
          <w:szCs w:val="24"/>
          <w:highlight w:val="white"/>
          <w:lang w:val="en-US"/>
        </w:rPr>
        <w:t xml:space="preserve">, vol. 66, no. 66, 2022, </w:t>
      </w:r>
      <w:hyperlink r:id="rId8"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https://doi.org/10.1016/j.breast.2022.08.010</w:t>
        </w:r>
      </w:hyperlink>
      <w:r w:rsidRPr="00781377">
        <w:rPr>
          <w:sz w:val="24"/>
          <w:szCs w:val="24"/>
          <w:highlight w:val="white"/>
          <w:lang w:val="en-US"/>
        </w:rPr>
        <w:t>.</w:t>
      </w:r>
    </w:p>
    <w:p w14:paraId="00000012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>S. Loibl</w:t>
      </w:r>
      <w:r w:rsidRPr="00781377">
        <w:rPr>
          <w:i/>
          <w:sz w:val="24"/>
          <w:szCs w:val="24"/>
          <w:highlight w:val="white"/>
          <w:lang w:val="en-US"/>
        </w:rPr>
        <w:t xml:space="preserve"> et al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The Lancet</w:t>
      </w:r>
      <w:r w:rsidRPr="00781377">
        <w:rPr>
          <w:sz w:val="24"/>
          <w:szCs w:val="24"/>
          <w:highlight w:val="white"/>
          <w:lang w:val="en-US"/>
        </w:rPr>
        <w:t>, vol. 389, no. 10087, pp. 2415, 2017,</w:t>
      </w:r>
      <w:hyperlink r:id="rId9"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https://doi.org/10.1016/s0140-6736(16)32417-5</w:t>
        </w:r>
      </w:hyperlink>
      <w:r w:rsidRPr="00781377">
        <w:rPr>
          <w:sz w:val="24"/>
          <w:szCs w:val="24"/>
          <w:highlight w:val="white"/>
          <w:lang w:val="en-US"/>
        </w:rPr>
        <w:t>.</w:t>
      </w:r>
    </w:p>
    <w:p w14:paraId="00000013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L. Wang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Journal of Nanobiotechnology</w:t>
      </w:r>
      <w:r w:rsidRPr="00781377">
        <w:rPr>
          <w:sz w:val="24"/>
          <w:szCs w:val="24"/>
          <w:highlight w:val="white"/>
          <w:lang w:val="en-US"/>
        </w:rPr>
        <w:t xml:space="preserve">, vol. 18, no. 1, 2020, </w:t>
      </w:r>
      <w:hyperlink r:id="rId10"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https://doi.org/10.1186/s12951-020-00711-5</w:t>
        </w:r>
      </w:hyperlink>
      <w:r w:rsidRPr="00781377">
        <w:rPr>
          <w:sz w:val="24"/>
          <w:szCs w:val="24"/>
          <w:highlight w:val="white"/>
          <w:lang w:val="en-US"/>
        </w:rPr>
        <w:t>.</w:t>
      </w:r>
    </w:p>
    <w:p w14:paraId="00000014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P. Bittla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Cureus</w:t>
      </w:r>
      <w:r w:rsidRPr="00781377">
        <w:rPr>
          <w:sz w:val="24"/>
          <w:szCs w:val="24"/>
          <w:highlight w:val="white"/>
          <w:lang w:val="en-US"/>
        </w:rPr>
        <w:t xml:space="preserve">, vol. 15, no. 9, p. e45784, 2023, </w:t>
      </w:r>
      <w:hyperlink r:id="rId11"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https://doi.org/10.7759/cureus.45784</w:t>
        </w:r>
      </w:hyperlink>
      <w:r w:rsidRPr="00781377">
        <w:rPr>
          <w:sz w:val="24"/>
          <w:szCs w:val="24"/>
          <w:highlight w:val="white"/>
          <w:lang w:val="en-US"/>
        </w:rPr>
        <w:t>.</w:t>
      </w:r>
    </w:p>
    <w:p w14:paraId="00000015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B. Bondhopadhyay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Cancers</w:t>
      </w:r>
      <w:r w:rsidRPr="00781377">
        <w:rPr>
          <w:sz w:val="24"/>
          <w:szCs w:val="24"/>
          <w:highlight w:val="white"/>
          <w:lang w:val="en-US"/>
        </w:rPr>
        <w:t>, vol. 13, no. 18, p. 4672, 2021, https://doi.org/10.3390/cancers13184672.</w:t>
      </w:r>
    </w:p>
    <w:p w14:paraId="00000016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E. S. Lianidou et al, </w:t>
      </w:r>
      <w:r w:rsidRPr="00781377">
        <w:rPr>
          <w:i/>
          <w:sz w:val="24"/>
          <w:szCs w:val="24"/>
          <w:highlight w:val="white"/>
          <w:lang w:val="en-US"/>
        </w:rPr>
        <w:t>Critical Reviews in Clinical Laboratory Sciences</w:t>
      </w:r>
      <w:r w:rsidRPr="00781377">
        <w:rPr>
          <w:sz w:val="24"/>
          <w:szCs w:val="24"/>
          <w:highlight w:val="white"/>
          <w:lang w:val="en-US"/>
        </w:rPr>
        <w:t xml:space="preserve">, vol. 51, no. 3, pp. 160, 2014, </w:t>
      </w:r>
      <w:hyperlink r:id="rId12"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https</w:t>
        </w:r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://doi.org/10.3109/10408363.2014.896316</w:t>
        </w:r>
      </w:hyperlink>
      <w:r w:rsidRPr="00781377">
        <w:rPr>
          <w:sz w:val="24"/>
          <w:szCs w:val="24"/>
          <w:highlight w:val="white"/>
          <w:lang w:val="en-US"/>
        </w:rPr>
        <w:t>.</w:t>
      </w:r>
    </w:p>
    <w:p w14:paraId="00000017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L. Ma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Signal Transduction and Targeted Therapy</w:t>
      </w:r>
      <w:r w:rsidRPr="00781377">
        <w:rPr>
          <w:sz w:val="24"/>
          <w:szCs w:val="24"/>
          <w:highlight w:val="white"/>
          <w:lang w:val="en-US"/>
        </w:rPr>
        <w:t xml:space="preserve">, vol. 9, no. 1, 2024, </w:t>
      </w:r>
      <w:hyperlink r:id="rId13"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https://doi.org/10.1038/s41392-024-02021-w</w:t>
        </w:r>
      </w:hyperlink>
      <w:r w:rsidRPr="00781377">
        <w:rPr>
          <w:sz w:val="24"/>
          <w:szCs w:val="24"/>
          <w:highlight w:val="white"/>
          <w:lang w:val="en-US"/>
        </w:rPr>
        <w:t>.</w:t>
      </w:r>
    </w:p>
    <w:p w14:paraId="00000018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J. Chen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Frontiers in Bio</w:t>
      </w:r>
      <w:r w:rsidRPr="00781377">
        <w:rPr>
          <w:i/>
          <w:sz w:val="24"/>
          <w:szCs w:val="24"/>
          <w:highlight w:val="white"/>
          <w:lang w:val="en-US"/>
        </w:rPr>
        <w:t>engineering and Biotechnology</w:t>
      </w:r>
      <w:r w:rsidRPr="00781377">
        <w:rPr>
          <w:sz w:val="24"/>
          <w:szCs w:val="24"/>
          <w:highlight w:val="white"/>
          <w:lang w:val="en-US"/>
        </w:rPr>
        <w:t>, vol. 9, 2022, https://doi.org/10.3389/fbioe.2021.811971.</w:t>
      </w:r>
    </w:p>
    <w:p w14:paraId="00000019" w14:textId="77777777" w:rsidR="00BE671E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</w:rPr>
      </w:pPr>
      <w:r w:rsidRPr="00781377">
        <w:rPr>
          <w:sz w:val="24"/>
          <w:szCs w:val="24"/>
          <w:highlight w:val="white"/>
          <w:lang w:val="en-US"/>
        </w:rPr>
        <w:t xml:space="preserve">J. M. Morales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Optical Sensors and Sensing Congress 2022 (AIS, LACSEA, Sensors, ES)</w:t>
      </w:r>
      <w:r w:rsidRPr="00781377">
        <w:rPr>
          <w:sz w:val="24"/>
          <w:szCs w:val="24"/>
          <w:highlight w:val="white"/>
          <w:lang w:val="en-US"/>
        </w:rPr>
        <w:t xml:space="preserve">, pp. </w:t>
      </w:r>
      <w:r>
        <w:rPr>
          <w:sz w:val="24"/>
          <w:szCs w:val="24"/>
          <w:highlight w:val="white"/>
        </w:rPr>
        <w:t xml:space="preserve">SM3E.1–SM3E.1, 2022, </w:t>
      </w:r>
      <w:hyperlink r:id="rId14">
        <w:r>
          <w:rPr>
            <w:color w:val="1155CC"/>
            <w:sz w:val="24"/>
            <w:szCs w:val="24"/>
            <w:highlight w:val="white"/>
            <w:u w:val="single"/>
          </w:rPr>
          <w:t>https://doi.org/10.1364/sensors.2022.sm3e.1</w:t>
        </w:r>
      </w:hyperlink>
      <w:r>
        <w:rPr>
          <w:sz w:val="24"/>
          <w:szCs w:val="24"/>
          <w:highlight w:val="white"/>
        </w:rPr>
        <w:t>.</w:t>
      </w:r>
    </w:p>
    <w:p w14:paraId="0000001A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A. Kuzin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Applied physics letters</w:t>
      </w:r>
      <w:r w:rsidRPr="00781377">
        <w:rPr>
          <w:sz w:val="24"/>
          <w:szCs w:val="24"/>
          <w:highlight w:val="white"/>
          <w:lang w:val="en-US"/>
        </w:rPr>
        <w:t>, vol. 124, no. 6, 2024, https://doi.org/10.1063/5.0190351.</w:t>
      </w:r>
    </w:p>
    <w:p w14:paraId="0000001B" w14:textId="77777777" w:rsidR="00BE671E" w:rsidRPr="00781377" w:rsidRDefault="00C57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" w:hanging="141"/>
        <w:jc w:val="both"/>
        <w:rPr>
          <w:color w:val="000000"/>
          <w:sz w:val="24"/>
          <w:szCs w:val="24"/>
          <w:lang w:val="en-US"/>
        </w:rPr>
      </w:pPr>
      <w:r w:rsidRPr="00781377">
        <w:rPr>
          <w:color w:val="000000"/>
          <w:sz w:val="24"/>
          <w:szCs w:val="24"/>
          <w:lang w:val="en-US"/>
        </w:rPr>
        <w:t xml:space="preserve">A. Kuzin </w:t>
      </w:r>
      <w:r w:rsidRPr="00781377">
        <w:rPr>
          <w:i/>
          <w:color w:val="000000"/>
          <w:sz w:val="24"/>
          <w:szCs w:val="24"/>
          <w:lang w:val="en-US"/>
        </w:rPr>
        <w:t>et al.</w:t>
      </w:r>
      <w:r w:rsidRPr="00781377">
        <w:rPr>
          <w:color w:val="000000"/>
          <w:sz w:val="24"/>
          <w:szCs w:val="24"/>
          <w:lang w:val="en-US"/>
        </w:rPr>
        <w:t xml:space="preserve">, </w:t>
      </w:r>
      <w:r w:rsidRPr="00781377">
        <w:rPr>
          <w:i/>
          <w:color w:val="000000"/>
          <w:sz w:val="24"/>
          <w:szCs w:val="24"/>
          <w:lang w:val="en-US"/>
        </w:rPr>
        <w:t>Applied Physics Letters</w:t>
      </w:r>
      <w:r w:rsidRPr="00781377">
        <w:rPr>
          <w:color w:val="000000"/>
          <w:sz w:val="24"/>
          <w:szCs w:val="24"/>
          <w:lang w:val="en-US"/>
        </w:rPr>
        <w:t>, vol. 123, no. 19, 2023,</w:t>
      </w:r>
      <w:r w:rsidRPr="00781377">
        <w:rPr>
          <w:sz w:val="24"/>
          <w:szCs w:val="24"/>
          <w:lang w:val="en-US"/>
        </w:rPr>
        <w:t xml:space="preserve"> </w:t>
      </w:r>
      <w:hyperlink r:id="rId15">
        <w:r w:rsidRPr="00781377">
          <w:rPr>
            <w:color w:val="1155CC"/>
            <w:sz w:val="24"/>
            <w:szCs w:val="24"/>
            <w:u w:val="single"/>
            <w:lang w:val="en-US"/>
          </w:rPr>
          <w:t>https://doi.org/10.1063/5.0167631</w:t>
        </w:r>
      </w:hyperlink>
      <w:r w:rsidRPr="00781377">
        <w:rPr>
          <w:color w:val="000000"/>
          <w:sz w:val="24"/>
          <w:szCs w:val="24"/>
          <w:lang w:val="en-US"/>
        </w:rPr>
        <w:t>.</w:t>
      </w:r>
    </w:p>
    <w:p w14:paraId="0000001C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A. Kuzin </w:t>
      </w:r>
      <w:r w:rsidRPr="00781377">
        <w:rPr>
          <w:i/>
          <w:sz w:val="24"/>
          <w:szCs w:val="24"/>
          <w:highlight w:val="white"/>
          <w:lang w:val="en-US"/>
        </w:rPr>
        <w:t>et al.</w:t>
      </w:r>
      <w:r w:rsidRPr="00781377">
        <w:rPr>
          <w:sz w:val="24"/>
          <w:szCs w:val="24"/>
          <w:highlight w:val="white"/>
          <w:lang w:val="en-US"/>
        </w:rPr>
        <w:t xml:space="preserve">, </w:t>
      </w:r>
      <w:r w:rsidRPr="00781377">
        <w:rPr>
          <w:i/>
          <w:sz w:val="24"/>
          <w:szCs w:val="24"/>
          <w:highlight w:val="white"/>
          <w:lang w:val="en-US"/>
        </w:rPr>
        <w:t>Analytical Chemistry</w:t>
      </w:r>
      <w:r w:rsidRPr="00781377">
        <w:rPr>
          <w:sz w:val="24"/>
          <w:szCs w:val="24"/>
          <w:highlight w:val="white"/>
          <w:lang w:val="en-US"/>
        </w:rPr>
        <w:t xml:space="preserve">, vol. 94, no. 42, pp. 14517, 2022, </w:t>
      </w:r>
      <w:hyperlink r:id="rId16"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https://doi.org/10.1021/acs.analc</w:t>
        </w:r>
        <w:r w:rsidRPr="00781377">
          <w:rPr>
            <w:color w:val="1155CC"/>
            <w:sz w:val="24"/>
            <w:szCs w:val="24"/>
            <w:highlight w:val="white"/>
            <w:u w:val="single"/>
            <w:lang w:val="en-US"/>
          </w:rPr>
          <w:t>hem.2c03909</w:t>
        </w:r>
      </w:hyperlink>
      <w:r w:rsidRPr="00781377">
        <w:rPr>
          <w:sz w:val="24"/>
          <w:szCs w:val="24"/>
          <w:highlight w:val="white"/>
          <w:lang w:val="en-US"/>
        </w:rPr>
        <w:t>.</w:t>
      </w:r>
    </w:p>
    <w:p w14:paraId="0000001D" w14:textId="77777777" w:rsidR="00BE671E" w:rsidRPr="00781377" w:rsidRDefault="00C57D19">
      <w:pPr>
        <w:numPr>
          <w:ilvl w:val="0"/>
          <w:numId w:val="1"/>
        </w:numPr>
        <w:ind w:left="141" w:hanging="141"/>
        <w:jc w:val="both"/>
        <w:rPr>
          <w:sz w:val="24"/>
          <w:szCs w:val="24"/>
          <w:highlight w:val="white"/>
          <w:lang w:val="en-US"/>
        </w:rPr>
      </w:pPr>
      <w:r w:rsidRPr="00781377">
        <w:rPr>
          <w:sz w:val="24"/>
          <w:szCs w:val="24"/>
          <w:highlight w:val="white"/>
          <w:lang w:val="en-US"/>
        </w:rPr>
        <w:t xml:space="preserve">V. Thiviyanathan et al , </w:t>
      </w:r>
      <w:r w:rsidRPr="00781377">
        <w:rPr>
          <w:i/>
          <w:sz w:val="24"/>
          <w:szCs w:val="24"/>
          <w:highlight w:val="white"/>
          <w:lang w:val="en-US"/>
        </w:rPr>
        <w:t>PROTEOMICS - Clinical Applications</w:t>
      </w:r>
      <w:r w:rsidRPr="00781377">
        <w:rPr>
          <w:sz w:val="24"/>
          <w:szCs w:val="24"/>
          <w:highlight w:val="white"/>
          <w:lang w:val="en-US"/>
        </w:rPr>
        <w:t>, vol. 6, no. 11–12, pp. 563, 2012, https://doi.org/10.1002/prca.201200042.</w:t>
      </w:r>
    </w:p>
    <w:sectPr w:rsidR="00BE671E" w:rsidRPr="00781377">
      <w:footerReference w:type="even" r:id="rId17"/>
      <w:footerReference w:type="default" r:id="rId18"/>
      <w:pgSz w:w="11906" w:h="16838"/>
      <w:pgMar w:top="1134" w:right="1361" w:bottom="1247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C113" w14:textId="77777777" w:rsidR="00C57D19" w:rsidRDefault="00C57D19">
      <w:r>
        <w:separator/>
      </w:r>
    </w:p>
  </w:endnote>
  <w:endnote w:type="continuationSeparator" w:id="0">
    <w:p w14:paraId="2115E977" w14:textId="77777777" w:rsidR="00C57D19" w:rsidRDefault="00C5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BE671E" w:rsidRDefault="00C57D1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1F" w14:textId="77777777" w:rsidR="00BE671E" w:rsidRDefault="00BE671E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BE671E" w:rsidRDefault="00BE671E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EF58" w14:textId="77777777" w:rsidR="00C57D19" w:rsidRDefault="00C57D19">
      <w:r>
        <w:separator/>
      </w:r>
    </w:p>
  </w:footnote>
  <w:footnote w:type="continuationSeparator" w:id="0">
    <w:p w14:paraId="1B730DAB" w14:textId="77777777" w:rsidR="00C57D19" w:rsidRDefault="00C5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1580"/>
    <w:multiLevelType w:val="multilevel"/>
    <w:tmpl w:val="F7566934"/>
    <w:lvl w:ilvl="0">
      <w:start w:val="1"/>
      <w:numFmt w:val="decimal"/>
      <w:lvlText w:val="%1."/>
      <w:lvlJc w:val="left"/>
      <w:pPr>
        <w:ind w:left="850" w:hanging="359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1E"/>
    <w:rsid w:val="00781377"/>
    <w:rsid w:val="00BE671E"/>
    <w:rsid w:val="00C5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52A3"/>
  <w15:docId w15:val="{387F9C45-0901-4291-88EA-6FD1543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breast.2022.08.010" TargetMode="External"/><Relationship Id="rId13" Type="http://schemas.openxmlformats.org/officeDocument/2006/relationships/hyperlink" Target="https://doi.org/10.1038/s41392-024-02021-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sandal2002@mail.ru" TargetMode="External"/><Relationship Id="rId12" Type="http://schemas.openxmlformats.org/officeDocument/2006/relationships/hyperlink" Target="https://doi.org/10.3109/10408363.2014.89631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21/acs.analchem.2c039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7759/cureus.457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63/5.0167631" TargetMode="External"/><Relationship Id="rId10" Type="http://schemas.openxmlformats.org/officeDocument/2006/relationships/hyperlink" Target="https://doi.org/10.1186/s12951-020-00711-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s0140-6736(16)32417-5" TargetMode="External"/><Relationship Id="rId14" Type="http://schemas.openxmlformats.org/officeDocument/2006/relationships/hyperlink" Target="https://doi.org/10.1364/sensors.2022.sm3e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2025-03-09T16:40:00Z</dcterms:created>
  <dcterms:modified xsi:type="dcterms:W3CDTF">2025-03-09T16:48:00Z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-759329723</vt:lpwstr>
  </property>
</Properties>
</file>