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BF92" w14:textId="77BD5C0F" w:rsidR="008B029D" w:rsidRPr="00C364E7" w:rsidRDefault="008B029D" w:rsidP="008B029D">
      <w:pPr>
        <w:spacing w:after="0"/>
        <w:ind w:firstLine="709"/>
        <w:jc w:val="center"/>
        <w:rPr>
          <w:b/>
          <w:sz w:val="24"/>
          <w:szCs w:val="24"/>
        </w:rPr>
      </w:pPr>
      <w:r w:rsidRPr="00C364E7">
        <w:rPr>
          <w:b/>
          <w:sz w:val="24"/>
          <w:szCs w:val="24"/>
        </w:rPr>
        <w:t xml:space="preserve">ОБЗОР </w:t>
      </w:r>
      <w:r w:rsidR="000F52E1" w:rsidRPr="00C364E7">
        <w:rPr>
          <w:b/>
          <w:sz w:val="24"/>
          <w:szCs w:val="24"/>
        </w:rPr>
        <w:t xml:space="preserve">ИССЛЕДОВАНИЙ </w:t>
      </w:r>
      <w:r w:rsidRPr="00C364E7">
        <w:rPr>
          <w:b/>
          <w:sz w:val="24"/>
          <w:szCs w:val="24"/>
        </w:rPr>
        <w:t>ВТОРИЧНЫ</w:t>
      </w:r>
      <w:r w:rsidR="000F52E1" w:rsidRPr="00C364E7">
        <w:rPr>
          <w:b/>
          <w:sz w:val="24"/>
          <w:szCs w:val="24"/>
        </w:rPr>
        <w:t>Х</w:t>
      </w:r>
      <w:r w:rsidRPr="00C364E7">
        <w:rPr>
          <w:b/>
          <w:sz w:val="24"/>
          <w:szCs w:val="24"/>
        </w:rPr>
        <w:t xml:space="preserve"> РАК</w:t>
      </w:r>
      <w:r w:rsidR="000F52E1" w:rsidRPr="00C364E7">
        <w:rPr>
          <w:b/>
          <w:sz w:val="24"/>
          <w:szCs w:val="24"/>
        </w:rPr>
        <w:t>ОВ</w:t>
      </w:r>
      <w:r w:rsidRPr="00C364E7">
        <w:rPr>
          <w:b/>
          <w:sz w:val="24"/>
          <w:szCs w:val="24"/>
        </w:rPr>
        <w:t xml:space="preserve"> </w:t>
      </w:r>
      <w:r w:rsidR="000F52E1" w:rsidRPr="00C364E7">
        <w:rPr>
          <w:b/>
          <w:sz w:val="24"/>
          <w:szCs w:val="24"/>
        </w:rPr>
        <w:t>ПАЦИЕНТОВ, ПРОШЕДШИХ</w:t>
      </w:r>
      <w:r w:rsidRPr="00C364E7">
        <w:rPr>
          <w:b/>
          <w:sz w:val="24"/>
          <w:szCs w:val="24"/>
        </w:rPr>
        <w:t xml:space="preserve"> ЛУЧЕВ</w:t>
      </w:r>
      <w:r w:rsidR="000F52E1" w:rsidRPr="00C364E7">
        <w:rPr>
          <w:b/>
          <w:sz w:val="24"/>
          <w:szCs w:val="24"/>
        </w:rPr>
        <w:t>УЮ</w:t>
      </w:r>
      <w:r w:rsidRPr="00C364E7">
        <w:rPr>
          <w:b/>
          <w:sz w:val="24"/>
          <w:szCs w:val="24"/>
        </w:rPr>
        <w:t xml:space="preserve"> ТЕРАПИ</w:t>
      </w:r>
      <w:r w:rsidR="000F52E1" w:rsidRPr="00C364E7">
        <w:rPr>
          <w:b/>
          <w:sz w:val="24"/>
          <w:szCs w:val="24"/>
        </w:rPr>
        <w:t>Ю</w:t>
      </w:r>
    </w:p>
    <w:p w14:paraId="3F0ED934" w14:textId="3A495F50" w:rsidR="00C364E7" w:rsidRPr="00C364E7" w:rsidRDefault="008B029D" w:rsidP="00C364E7">
      <w:pPr>
        <w:spacing w:after="0"/>
        <w:ind w:firstLine="709"/>
        <w:jc w:val="center"/>
        <w:rPr>
          <w:b/>
          <w:bCs/>
          <w:i/>
          <w:iCs/>
          <w:sz w:val="24"/>
          <w:szCs w:val="24"/>
          <w:lang w:val="en-US"/>
        </w:rPr>
      </w:pPr>
      <w:r w:rsidRPr="00C364E7">
        <w:rPr>
          <w:b/>
          <w:bCs/>
          <w:i/>
          <w:iCs/>
          <w:sz w:val="24"/>
          <w:szCs w:val="24"/>
        </w:rPr>
        <w:t>Храмов</w:t>
      </w:r>
      <w:r w:rsidR="00C364E7" w:rsidRPr="00C364E7">
        <w:rPr>
          <w:b/>
          <w:bCs/>
          <w:i/>
          <w:iCs/>
          <w:sz w:val="24"/>
          <w:szCs w:val="24"/>
        </w:rPr>
        <w:t xml:space="preserve"> И. В. </w:t>
      </w:r>
      <w:r w:rsidRPr="00C364E7">
        <w:rPr>
          <w:b/>
          <w:bCs/>
          <w:i/>
          <w:iCs/>
          <w:sz w:val="24"/>
          <w:szCs w:val="24"/>
          <w:vertAlign w:val="superscript"/>
        </w:rPr>
        <w:t>1</w:t>
      </w:r>
      <w:r w:rsidRPr="00C364E7">
        <w:rPr>
          <w:b/>
          <w:bCs/>
          <w:i/>
          <w:iCs/>
          <w:sz w:val="24"/>
          <w:szCs w:val="24"/>
        </w:rPr>
        <w:t>, Щербаков</w:t>
      </w:r>
      <w:r w:rsidR="00C364E7" w:rsidRPr="00C364E7">
        <w:rPr>
          <w:b/>
          <w:bCs/>
          <w:i/>
          <w:iCs/>
          <w:sz w:val="24"/>
          <w:szCs w:val="24"/>
        </w:rPr>
        <w:t xml:space="preserve"> А. А. </w:t>
      </w:r>
      <w:r w:rsidRPr="00C364E7">
        <w:rPr>
          <w:b/>
          <w:bCs/>
          <w:i/>
          <w:iCs/>
          <w:sz w:val="24"/>
          <w:szCs w:val="24"/>
          <w:vertAlign w:val="superscript"/>
        </w:rPr>
        <w:t>1,2</w:t>
      </w:r>
      <w:r w:rsidRPr="00C364E7">
        <w:rPr>
          <w:b/>
          <w:bCs/>
          <w:i/>
          <w:iCs/>
          <w:sz w:val="24"/>
          <w:szCs w:val="24"/>
        </w:rPr>
        <w:t>, Студеникин</w:t>
      </w:r>
      <w:r w:rsidR="00C364E7" w:rsidRPr="00C364E7">
        <w:rPr>
          <w:b/>
          <w:bCs/>
          <w:i/>
          <w:iCs/>
          <w:sz w:val="24"/>
          <w:szCs w:val="24"/>
        </w:rPr>
        <w:t xml:space="preserve"> Ф. Р. </w:t>
      </w:r>
      <w:r w:rsidRPr="00C364E7">
        <w:rPr>
          <w:b/>
          <w:bCs/>
          <w:i/>
          <w:iCs/>
          <w:sz w:val="24"/>
          <w:szCs w:val="24"/>
          <w:vertAlign w:val="superscript"/>
        </w:rPr>
        <w:t>1,2</w:t>
      </w:r>
    </w:p>
    <w:p w14:paraId="2E5CBC83" w14:textId="5789E0A2" w:rsidR="00C364E7" w:rsidRPr="00C364E7" w:rsidRDefault="00C364E7" w:rsidP="00C364E7">
      <w:pPr>
        <w:spacing w:after="0"/>
        <w:ind w:firstLine="709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</w:t>
      </w:r>
      <w:r w:rsidRPr="00C364E7">
        <w:rPr>
          <w:i/>
          <w:iCs/>
          <w:sz w:val="24"/>
          <w:szCs w:val="24"/>
        </w:rPr>
        <w:t>тудент</w:t>
      </w:r>
    </w:p>
    <w:p w14:paraId="2A09C39D" w14:textId="77777777" w:rsidR="008B029D" w:rsidRPr="00C364E7" w:rsidRDefault="008B029D" w:rsidP="008B029D">
      <w:pPr>
        <w:spacing w:after="0"/>
        <w:ind w:firstLine="709"/>
        <w:jc w:val="center"/>
        <w:rPr>
          <w:i/>
          <w:iCs/>
          <w:sz w:val="24"/>
          <w:szCs w:val="24"/>
        </w:rPr>
      </w:pPr>
      <w:r w:rsidRPr="00C364E7">
        <w:rPr>
          <w:i/>
          <w:iCs/>
          <w:sz w:val="24"/>
          <w:szCs w:val="24"/>
          <w:vertAlign w:val="superscript"/>
        </w:rPr>
        <w:t>1</w:t>
      </w:r>
      <w:r w:rsidRPr="00C364E7">
        <w:rPr>
          <w:i/>
          <w:iCs/>
          <w:sz w:val="24"/>
          <w:szCs w:val="24"/>
        </w:rPr>
        <w:t xml:space="preserve">Московский государственный университет имени М. В. Ломоносова, </w:t>
      </w:r>
      <w:r w:rsidRPr="00C364E7">
        <w:rPr>
          <w:i/>
          <w:iCs/>
          <w:sz w:val="24"/>
          <w:szCs w:val="24"/>
        </w:rPr>
        <w:br/>
        <w:t>физический факультет, Москва, Россия,</w:t>
      </w:r>
      <w:r w:rsidRPr="00C364E7">
        <w:rPr>
          <w:i/>
          <w:iCs/>
          <w:sz w:val="24"/>
          <w:szCs w:val="24"/>
        </w:rPr>
        <w:br/>
        <w:t xml:space="preserve"> </w:t>
      </w:r>
      <w:r w:rsidRPr="00C364E7">
        <w:rPr>
          <w:i/>
          <w:iCs/>
          <w:sz w:val="24"/>
          <w:szCs w:val="24"/>
          <w:vertAlign w:val="superscript"/>
        </w:rPr>
        <w:t>2</w:t>
      </w:r>
      <w:r w:rsidRPr="00C364E7">
        <w:rPr>
          <w:i/>
          <w:iCs/>
          <w:sz w:val="24"/>
          <w:szCs w:val="24"/>
        </w:rPr>
        <w:t xml:space="preserve">Московский государственный университет имени М. В. Ломоносова  </w:t>
      </w:r>
      <w:r w:rsidRPr="00C364E7">
        <w:rPr>
          <w:i/>
          <w:iCs/>
          <w:sz w:val="24"/>
          <w:szCs w:val="24"/>
        </w:rPr>
        <w:br/>
        <w:t xml:space="preserve">Научно-исследовательский институт ядерной физики имени Д. В. Скобельцына, </w:t>
      </w:r>
      <w:r w:rsidRPr="00C364E7">
        <w:rPr>
          <w:i/>
          <w:iCs/>
          <w:sz w:val="24"/>
          <w:szCs w:val="24"/>
        </w:rPr>
        <w:br/>
        <w:t>Москва, Россия</w:t>
      </w:r>
    </w:p>
    <w:p w14:paraId="53A21C13" w14:textId="1623558D" w:rsidR="008B029D" w:rsidRPr="00C364E7" w:rsidRDefault="008B029D" w:rsidP="008B029D">
      <w:pPr>
        <w:spacing w:after="0"/>
        <w:ind w:firstLine="709"/>
        <w:jc w:val="center"/>
        <w:rPr>
          <w:i/>
          <w:iCs/>
          <w:sz w:val="24"/>
          <w:szCs w:val="24"/>
          <w:lang w:val="en-US"/>
        </w:rPr>
      </w:pPr>
      <w:r w:rsidRPr="00C364E7">
        <w:rPr>
          <w:i/>
          <w:iCs/>
          <w:sz w:val="24"/>
          <w:szCs w:val="24"/>
          <w:lang w:val="en-US"/>
        </w:rPr>
        <w:t xml:space="preserve">E–mail: </w:t>
      </w:r>
      <w:hyperlink r:id="rId5" w:history="1">
        <w:r w:rsidRPr="00C364E7">
          <w:rPr>
            <w:rStyle w:val="ac"/>
            <w:i/>
            <w:iCs/>
            <w:sz w:val="24"/>
            <w:szCs w:val="24"/>
            <w:lang w:val="en-US"/>
          </w:rPr>
          <w:t>khramoviv@my.msu.ru</w:t>
        </w:r>
      </w:hyperlink>
    </w:p>
    <w:p w14:paraId="2B9E0598" w14:textId="77777777" w:rsidR="008B029D" w:rsidRPr="00C364E7" w:rsidRDefault="008B029D" w:rsidP="008B029D">
      <w:pPr>
        <w:spacing w:after="0"/>
        <w:ind w:firstLine="709"/>
        <w:jc w:val="center"/>
        <w:rPr>
          <w:sz w:val="24"/>
          <w:szCs w:val="24"/>
          <w:lang w:val="en-US"/>
        </w:rPr>
      </w:pPr>
    </w:p>
    <w:p w14:paraId="00DC295E" w14:textId="77777777" w:rsidR="006754CE" w:rsidRPr="00C364E7" w:rsidRDefault="006754CE" w:rsidP="00C364E7">
      <w:pPr>
        <w:spacing w:after="0"/>
        <w:ind w:firstLine="708"/>
        <w:jc w:val="both"/>
        <w:rPr>
          <w:sz w:val="24"/>
          <w:szCs w:val="24"/>
        </w:rPr>
      </w:pPr>
      <w:r w:rsidRPr="00C364E7">
        <w:rPr>
          <w:sz w:val="24"/>
          <w:szCs w:val="24"/>
        </w:rPr>
        <w:t>Лучевая терапия — один из ключевых методов лечения онкологических заболеваний, применяемый более чем у половины пациентов с раком [1]. В зависимости от стадии и типа опухоли, её часто комбинируют с хирургическим вмешательством, химиотерапией, таргетной терапией, иммунотерапией и другими методами для достижения максимального эффекта. Индивидуальный подход к каждому случаю повышает результативность лечения.</w:t>
      </w:r>
    </w:p>
    <w:p w14:paraId="192BB538" w14:textId="77777777" w:rsidR="006754CE" w:rsidRPr="00C364E7" w:rsidRDefault="006754CE" w:rsidP="00C364E7">
      <w:pPr>
        <w:spacing w:after="0"/>
        <w:ind w:firstLine="708"/>
        <w:jc w:val="both"/>
        <w:rPr>
          <w:sz w:val="24"/>
          <w:szCs w:val="24"/>
        </w:rPr>
      </w:pPr>
      <w:r w:rsidRPr="00C364E7">
        <w:rPr>
          <w:sz w:val="24"/>
          <w:szCs w:val="24"/>
        </w:rPr>
        <w:t>Однако лучевая терапия сопряжена с рисками, включая воздействие на здоровые ткани. Даже при использовании современных технологий часть облучения может затрагивать соседние органы, что повышает вероятность развития вторичных онкологических заболеваний. С увеличением продолжительности жизни пациентов отдалённые последствия, такие как вторичный канцерогенез, становятся более заметными. Доля вторичных опухолей выросла с 9% в 1975–1979 годах до 19% в 2005–2009 годах [2].</w:t>
      </w:r>
    </w:p>
    <w:p w14:paraId="3CD3F66B" w14:textId="77777777" w:rsidR="006754CE" w:rsidRPr="00C364E7" w:rsidRDefault="006754CE" w:rsidP="00C364E7">
      <w:pPr>
        <w:spacing w:after="0"/>
        <w:ind w:firstLine="708"/>
        <w:jc w:val="both"/>
        <w:rPr>
          <w:sz w:val="24"/>
          <w:szCs w:val="24"/>
        </w:rPr>
      </w:pPr>
      <w:r w:rsidRPr="00C364E7">
        <w:rPr>
          <w:sz w:val="24"/>
          <w:szCs w:val="24"/>
        </w:rPr>
        <w:t>Исследования показывают, что риск вторичного канцерогенеза после лучевой терапии увеличивается в 1,5–3 раза у взрослых и в 6–10 раз у детей [3–5]. В течение 30 лет после лечения вторичные опухоли развиваются у 17–18% пациентов [2]. Это подчеркивает необходимость изучения механизмов их возникновения, разработки статистических моделей и методов оценки риска для повышения безопасности терапии.</w:t>
      </w:r>
    </w:p>
    <w:p w14:paraId="2AA13A61" w14:textId="0C6ADA85" w:rsidR="006754CE" w:rsidRPr="00C364E7" w:rsidRDefault="006754CE" w:rsidP="00C364E7">
      <w:pPr>
        <w:spacing w:after="0"/>
        <w:jc w:val="both"/>
        <w:rPr>
          <w:sz w:val="24"/>
          <w:szCs w:val="24"/>
        </w:rPr>
      </w:pPr>
      <w:r w:rsidRPr="00C364E7">
        <w:rPr>
          <w:sz w:val="24"/>
          <w:szCs w:val="24"/>
        </w:rPr>
        <w:t>В ходе работы были собраны и проанализированы современные данные о механизмах, факторах риска и статистических закономерностях вторичного канцерогенеза</w:t>
      </w:r>
      <w:r w:rsidR="004015C3" w:rsidRPr="00C364E7">
        <w:rPr>
          <w:sz w:val="24"/>
          <w:szCs w:val="24"/>
        </w:rPr>
        <w:t>.</w:t>
      </w:r>
      <w:r w:rsidR="00032E0F" w:rsidRPr="00C364E7">
        <w:rPr>
          <w:sz w:val="24"/>
          <w:szCs w:val="24"/>
        </w:rPr>
        <w:t xml:space="preserve"> </w:t>
      </w:r>
    </w:p>
    <w:p w14:paraId="48536A3A" w14:textId="77777777" w:rsidR="006754CE" w:rsidRPr="00C364E7" w:rsidRDefault="006754CE" w:rsidP="006754CE">
      <w:pPr>
        <w:spacing w:after="0"/>
        <w:jc w:val="both"/>
        <w:rPr>
          <w:sz w:val="24"/>
          <w:szCs w:val="24"/>
        </w:rPr>
      </w:pPr>
    </w:p>
    <w:p w14:paraId="446A847D" w14:textId="633AC3D5" w:rsidR="006754CE" w:rsidRPr="00C364E7" w:rsidRDefault="006754CE" w:rsidP="00C364E7">
      <w:pPr>
        <w:pStyle w:val="a7"/>
        <w:numPr>
          <w:ilvl w:val="0"/>
          <w:numId w:val="1"/>
        </w:numPr>
        <w:autoSpaceDE w:val="0"/>
        <w:autoSpaceDN w:val="0"/>
        <w:ind w:left="709" w:hanging="349"/>
        <w:rPr>
          <w:rFonts w:eastAsia="Times New Roman"/>
          <w:color w:val="000000"/>
          <w:kern w:val="0"/>
          <w:sz w:val="24"/>
          <w:szCs w:val="24"/>
          <w:lang w:val="en-US"/>
        </w:rPr>
      </w:pPr>
      <w:r w:rsidRPr="00C364E7">
        <w:rPr>
          <w:rFonts w:eastAsia="Times New Roman"/>
          <w:color w:val="000000"/>
          <w:sz w:val="24"/>
          <w:szCs w:val="24"/>
          <w:lang w:val="en-US"/>
        </w:rPr>
        <w:t xml:space="preserve">M. Abdel-Wahab </w:t>
      </w:r>
      <w:r w:rsidRPr="00C364E7">
        <w:rPr>
          <w:rFonts w:eastAsia="Times New Roman"/>
          <w:i/>
          <w:iCs/>
          <w:color w:val="000000"/>
          <w:sz w:val="24"/>
          <w:szCs w:val="24"/>
          <w:lang w:val="en-US"/>
        </w:rPr>
        <w:t>et al.</w:t>
      </w:r>
      <w:r w:rsidRPr="00C364E7">
        <w:rPr>
          <w:rFonts w:eastAsia="Times New Roman"/>
          <w:color w:val="000000"/>
          <w:sz w:val="24"/>
          <w:szCs w:val="24"/>
          <w:lang w:val="en-US"/>
        </w:rPr>
        <w:t xml:space="preserve">, “Global Radiotherapy: Current Status and Future Directions—White Paper,” </w:t>
      </w:r>
      <w:r w:rsidRPr="00C364E7">
        <w:rPr>
          <w:rFonts w:eastAsia="Times New Roman"/>
          <w:i/>
          <w:iCs/>
          <w:color w:val="000000"/>
          <w:sz w:val="24"/>
          <w:szCs w:val="24"/>
          <w:lang w:val="en-US"/>
        </w:rPr>
        <w:t>JCO Glob Oncol</w:t>
      </w:r>
      <w:r w:rsidRPr="00C364E7">
        <w:rPr>
          <w:rFonts w:eastAsia="Times New Roman"/>
          <w:color w:val="000000"/>
          <w:sz w:val="24"/>
          <w:szCs w:val="24"/>
          <w:lang w:val="en-US"/>
        </w:rPr>
        <w:t>, no. 7, pp. 827–842, Dec. 2021, doi: 10.1200/GO.21.00029.</w:t>
      </w:r>
    </w:p>
    <w:p w14:paraId="67ED1C4D" w14:textId="681146EF" w:rsidR="006754CE" w:rsidRPr="00C364E7" w:rsidRDefault="006754CE" w:rsidP="006754CE">
      <w:pPr>
        <w:pStyle w:val="a7"/>
        <w:numPr>
          <w:ilvl w:val="0"/>
          <w:numId w:val="1"/>
        </w:numPr>
        <w:autoSpaceDE w:val="0"/>
        <w:autoSpaceDN w:val="0"/>
        <w:rPr>
          <w:rFonts w:eastAsia="Times New Roman"/>
          <w:color w:val="000000"/>
          <w:sz w:val="24"/>
          <w:szCs w:val="24"/>
          <w:lang w:val="en-US"/>
        </w:rPr>
      </w:pPr>
      <w:r w:rsidRPr="00C364E7">
        <w:rPr>
          <w:rFonts w:eastAsia="Times New Roman"/>
          <w:color w:val="000000"/>
          <w:sz w:val="24"/>
          <w:szCs w:val="24"/>
          <w:lang w:val="en-US"/>
        </w:rPr>
        <w:t xml:space="preserve">L. M. Morton, K. Onel, R. E. Curtis, E. A. Hungate, and G. T. Armstrong, “The Rising Incidence of Second Cancers: Patterns of Occurrence and Identification of Risk Factors for Children and Adults,” </w:t>
      </w:r>
      <w:r w:rsidRPr="00C364E7">
        <w:rPr>
          <w:rFonts w:eastAsia="Times New Roman"/>
          <w:i/>
          <w:iCs/>
          <w:color w:val="000000"/>
          <w:sz w:val="24"/>
          <w:szCs w:val="24"/>
          <w:lang w:val="en-US"/>
        </w:rPr>
        <w:t>American Society of Clinical Oncology Educational Book</w:t>
      </w:r>
      <w:r w:rsidRPr="00C364E7">
        <w:rPr>
          <w:rFonts w:eastAsia="Times New Roman"/>
          <w:color w:val="000000"/>
          <w:sz w:val="24"/>
          <w:szCs w:val="24"/>
          <w:lang w:val="en-US"/>
        </w:rPr>
        <w:t>, no. 34, pp. e57–e67, May 2014, doi: 10.14694/EdBook_AM.2014.34.e57.</w:t>
      </w:r>
    </w:p>
    <w:p w14:paraId="79F48E40" w14:textId="3F7ADFEB" w:rsidR="006754CE" w:rsidRPr="00C364E7" w:rsidRDefault="006754CE" w:rsidP="006754CE">
      <w:pPr>
        <w:pStyle w:val="a7"/>
        <w:numPr>
          <w:ilvl w:val="0"/>
          <w:numId w:val="1"/>
        </w:numPr>
        <w:autoSpaceDE w:val="0"/>
        <w:autoSpaceDN w:val="0"/>
        <w:rPr>
          <w:rFonts w:eastAsia="Times New Roman"/>
          <w:color w:val="000000"/>
          <w:sz w:val="24"/>
          <w:szCs w:val="24"/>
          <w:lang w:val="en-US"/>
        </w:rPr>
      </w:pPr>
      <w:r w:rsidRPr="00C364E7">
        <w:rPr>
          <w:rFonts w:eastAsia="Times New Roman"/>
          <w:color w:val="000000"/>
          <w:sz w:val="24"/>
          <w:szCs w:val="24"/>
          <w:lang w:val="en-US"/>
        </w:rPr>
        <w:t xml:space="preserve">M. Xiang, D. T. Chang, and E. L. Pollom, “Second cancer risk after primary cancer treatment with three‐dimensional conformal, intensity‐modulated, or proton beam radiation therapy,” </w:t>
      </w:r>
      <w:r w:rsidRPr="00C364E7">
        <w:rPr>
          <w:rFonts w:eastAsia="Times New Roman"/>
          <w:i/>
          <w:iCs/>
          <w:color w:val="000000"/>
          <w:sz w:val="24"/>
          <w:szCs w:val="24"/>
          <w:lang w:val="en-US"/>
        </w:rPr>
        <w:t>Cancer</w:t>
      </w:r>
      <w:r w:rsidRPr="00C364E7">
        <w:rPr>
          <w:rFonts w:eastAsia="Times New Roman"/>
          <w:color w:val="000000"/>
          <w:sz w:val="24"/>
          <w:szCs w:val="24"/>
          <w:lang w:val="en-US"/>
        </w:rPr>
        <w:t>, vol. 126, no. 15, pp. 3560–3568, Aug. 2020, doi: 10.1002/cncr.32938.</w:t>
      </w:r>
    </w:p>
    <w:p w14:paraId="36022775" w14:textId="599E64A2" w:rsidR="006754CE" w:rsidRPr="00C364E7" w:rsidRDefault="006754CE" w:rsidP="006754CE">
      <w:pPr>
        <w:pStyle w:val="a7"/>
        <w:numPr>
          <w:ilvl w:val="0"/>
          <w:numId w:val="1"/>
        </w:numPr>
        <w:autoSpaceDE w:val="0"/>
        <w:autoSpaceDN w:val="0"/>
        <w:rPr>
          <w:rFonts w:eastAsia="Times New Roman"/>
          <w:color w:val="000000"/>
          <w:sz w:val="24"/>
          <w:szCs w:val="24"/>
          <w:lang w:val="en-US"/>
        </w:rPr>
      </w:pPr>
      <w:r w:rsidRPr="00C364E7">
        <w:rPr>
          <w:rFonts w:eastAsia="Times New Roman"/>
          <w:color w:val="000000"/>
          <w:sz w:val="24"/>
          <w:szCs w:val="24"/>
          <w:lang w:val="en-US"/>
        </w:rPr>
        <w:t xml:space="preserve">U. Schneider </w:t>
      </w:r>
      <w:r w:rsidRPr="00C364E7">
        <w:rPr>
          <w:rFonts w:eastAsia="Times New Roman"/>
          <w:i/>
          <w:iCs/>
          <w:color w:val="000000"/>
          <w:sz w:val="24"/>
          <w:szCs w:val="24"/>
          <w:lang w:val="en-US"/>
        </w:rPr>
        <w:t>et al.</w:t>
      </w:r>
      <w:r w:rsidRPr="00C364E7">
        <w:rPr>
          <w:rFonts w:eastAsia="Times New Roman"/>
          <w:color w:val="000000"/>
          <w:sz w:val="24"/>
          <w:szCs w:val="24"/>
          <w:lang w:val="en-US"/>
        </w:rPr>
        <w:t xml:space="preserve">, “The Impact of IMRT and Proton Radiotherapy on Secondary Cancer Incidence,” </w:t>
      </w:r>
      <w:r w:rsidRPr="00C364E7">
        <w:rPr>
          <w:rFonts w:eastAsia="Times New Roman"/>
          <w:i/>
          <w:iCs/>
          <w:color w:val="000000"/>
          <w:sz w:val="24"/>
          <w:szCs w:val="24"/>
          <w:lang w:val="en-US"/>
        </w:rPr>
        <w:t>Strahlentherapie und Onkologie</w:t>
      </w:r>
      <w:r w:rsidRPr="00C364E7">
        <w:rPr>
          <w:rFonts w:eastAsia="Times New Roman"/>
          <w:color w:val="000000"/>
          <w:sz w:val="24"/>
          <w:szCs w:val="24"/>
          <w:lang w:val="en-US"/>
        </w:rPr>
        <w:t>, vol. 182, no. 11, pp. 647–652, Nov. 2006, doi: 10.1007/s00066-006-1534-8.</w:t>
      </w:r>
    </w:p>
    <w:p w14:paraId="0BB0973D" w14:textId="7C0F28B1" w:rsidR="006754CE" w:rsidRPr="00C364E7" w:rsidRDefault="006754CE" w:rsidP="006754CE">
      <w:pPr>
        <w:pStyle w:val="a7"/>
        <w:numPr>
          <w:ilvl w:val="0"/>
          <w:numId w:val="1"/>
        </w:numPr>
        <w:autoSpaceDE w:val="0"/>
        <w:autoSpaceDN w:val="0"/>
        <w:rPr>
          <w:rFonts w:eastAsia="Times New Roman"/>
          <w:color w:val="000000"/>
          <w:sz w:val="24"/>
          <w:szCs w:val="24"/>
          <w:lang w:val="en-US"/>
        </w:rPr>
      </w:pPr>
      <w:r w:rsidRPr="00C364E7">
        <w:rPr>
          <w:rFonts w:eastAsia="Times New Roman"/>
          <w:color w:val="000000"/>
          <w:sz w:val="24"/>
          <w:szCs w:val="24"/>
          <w:lang w:val="en-US"/>
        </w:rPr>
        <w:t xml:space="preserve">B. De Gonzalez </w:t>
      </w:r>
      <w:r w:rsidRPr="00C364E7">
        <w:rPr>
          <w:rFonts w:eastAsia="Times New Roman"/>
          <w:i/>
          <w:iCs/>
          <w:color w:val="000000"/>
          <w:sz w:val="24"/>
          <w:szCs w:val="24"/>
          <w:lang w:val="en-US"/>
        </w:rPr>
        <w:t>et al.</w:t>
      </w:r>
      <w:r w:rsidRPr="00C364E7">
        <w:rPr>
          <w:rFonts w:eastAsia="Times New Roman"/>
          <w:color w:val="000000"/>
          <w:sz w:val="24"/>
          <w:szCs w:val="24"/>
          <w:lang w:val="en-US"/>
        </w:rPr>
        <w:t xml:space="preserve">, “Proportion of second cancers attributable to radiotherapy treatment in adults: A cohort study in the US SEER cancer registries,” </w:t>
      </w:r>
      <w:r w:rsidRPr="00C364E7">
        <w:rPr>
          <w:rFonts w:eastAsia="Times New Roman"/>
          <w:i/>
          <w:iCs/>
          <w:color w:val="000000"/>
          <w:sz w:val="24"/>
          <w:szCs w:val="24"/>
          <w:lang w:val="en-US"/>
        </w:rPr>
        <w:t>Lancet Oncol</w:t>
      </w:r>
      <w:r w:rsidRPr="00C364E7">
        <w:rPr>
          <w:rFonts w:eastAsia="Times New Roman"/>
          <w:color w:val="000000"/>
          <w:sz w:val="24"/>
          <w:szCs w:val="24"/>
          <w:lang w:val="en-US"/>
        </w:rPr>
        <w:t>, vol. 12, no. 4, 2011, doi: 10.1016/S1470-2045(11)70061-4.</w:t>
      </w:r>
    </w:p>
    <w:p w14:paraId="0870FC98" w14:textId="77777777" w:rsidR="008B029D" w:rsidRPr="00C364E7" w:rsidRDefault="008B029D" w:rsidP="00C364E7">
      <w:pPr>
        <w:spacing w:after="0"/>
      </w:pPr>
    </w:p>
    <w:p w14:paraId="6C8CA015" w14:textId="77777777" w:rsidR="00F12C76" w:rsidRPr="006754CE" w:rsidRDefault="00F12C76" w:rsidP="008B029D">
      <w:pPr>
        <w:spacing w:after="0"/>
        <w:ind w:firstLine="709"/>
        <w:jc w:val="center"/>
        <w:rPr>
          <w:lang w:val="en-US"/>
        </w:rPr>
      </w:pPr>
    </w:p>
    <w:sectPr w:rsidR="00F12C76" w:rsidRPr="006754CE" w:rsidSect="00C364E7">
      <w:pgSz w:w="11906" w:h="16838" w:code="9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27E0F"/>
    <w:multiLevelType w:val="hybridMultilevel"/>
    <w:tmpl w:val="55DC3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D1E8E3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97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05"/>
    <w:rsid w:val="00032E0F"/>
    <w:rsid w:val="000F52E1"/>
    <w:rsid w:val="001A44DB"/>
    <w:rsid w:val="00354C53"/>
    <w:rsid w:val="004015C3"/>
    <w:rsid w:val="006754CE"/>
    <w:rsid w:val="006C0B77"/>
    <w:rsid w:val="008242FF"/>
    <w:rsid w:val="00870751"/>
    <w:rsid w:val="008B029D"/>
    <w:rsid w:val="00922C48"/>
    <w:rsid w:val="00B915B7"/>
    <w:rsid w:val="00C364E7"/>
    <w:rsid w:val="00C868E1"/>
    <w:rsid w:val="00D244A1"/>
    <w:rsid w:val="00E54105"/>
    <w:rsid w:val="00E966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CBB0"/>
  <w15:chartTrackingRefBased/>
  <w15:docId w15:val="{8ED82575-DF9C-4D0E-8BEA-C87C6822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5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1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1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1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1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1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1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1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1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41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41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410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410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5410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5410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5410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5410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541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1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410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541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410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41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410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54105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B029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B0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ramoviv@my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7</cp:revision>
  <dcterms:created xsi:type="dcterms:W3CDTF">2025-03-02T14:42:00Z</dcterms:created>
  <dcterms:modified xsi:type="dcterms:W3CDTF">2025-03-09T14:22:00Z</dcterms:modified>
</cp:coreProperties>
</file>