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1850" w14:textId="77777777" w:rsidR="00063911" w:rsidRDefault="00122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Углеродные анодные материалы для гибридных натрий-ионных/натрий металлических аккумуляторов</w:t>
      </w:r>
    </w:p>
    <w:p w14:paraId="4BEB0ECD" w14:textId="77777777" w:rsidR="00063911" w:rsidRDefault="00122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Перминова О.И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Бобылёва З.В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2F823AB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2211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122117">
        <w:rPr>
          <w:i/>
          <w:color w:val="000000"/>
        </w:rPr>
        <w:t>бакалавриата</w:t>
      </w:r>
    </w:p>
    <w:p w14:paraId="169C07ED" w14:textId="7418C270" w:rsidR="0006391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063911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122117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4D1129D8" w14:textId="0E522B75" w:rsidR="00063911" w:rsidRDefault="00122117" w:rsidP="00122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063911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6ED0E540" w14:textId="77777777" w:rsidR="00063911" w:rsidRPr="00063911" w:rsidRDefault="00063911" w:rsidP="000639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063911">
        <w:rPr>
          <w:i/>
          <w:color w:val="000000"/>
          <w:u w:val="single"/>
          <w:lang w:val="en-US"/>
        </w:rPr>
        <w:t>lesya.perminova@list.ru</w:t>
      </w:r>
    </w:p>
    <w:p w14:paraId="3247D528" w14:textId="0159D870" w:rsidR="00122117" w:rsidRPr="00122117" w:rsidRDefault="00122117" w:rsidP="00122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2117">
        <w:rPr>
          <w:color w:val="000000"/>
        </w:rPr>
        <w:t>В настоящее время активно развивается технология натрий-ионных аккумуляторов (НИА), которые могут стать выгодной альтернативой литий-ионным аккумуляторам (ЛИА) благодаря низкой себестоимости, обусловленной доступностью натрия. В качестве анодного материала для НИА применяют неграфитизируемый углерод</w:t>
      </w:r>
      <w:r w:rsidR="00CA3E63">
        <w:rPr>
          <w:color w:val="000000"/>
        </w:rPr>
        <w:t xml:space="preserve">, который отличается </w:t>
      </w:r>
      <w:r w:rsidRPr="00122117">
        <w:rPr>
          <w:color w:val="000000"/>
        </w:rPr>
        <w:t>высокой удельной ёмкостью, хорошей кулоновской эффективностью и простотой синтеза из доступных прекурсоров. Неграфитизируемый углерод можно использовать и для гибридных натрий-ионных/натрий металлических аккумуляторов</w:t>
      </w:r>
      <w:r w:rsidR="0030477B" w:rsidRPr="0030477B">
        <w:rPr>
          <w:color w:val="000000"/>
        </w:rPr>
        <w:t xml:space="preserve"> [1]</w:t>
      </w:r>
      <w:r w:rsidR="00CA3E63">
        <w:rPr>
          <w:color w:val="000000"/>
        </w:rPr>
        <w:t xml:space="preserve"> для повышения энергоемкости системы</w:t>
      </w:r>
      <w:r w:rsidRPr="00122117">
        <w:rPr>
          <w:color w:val="000000"/>
        </w:rPr>
        <w:t xml:space="preserve">, однако важной проблемой в разработке гибридной технологии является недостаточная обратимость осаждения металлического натрия, </w:t>
      </w:r>
      <w:r w:rsidR="00CA3E63">
        <w:rPr>
          <w:color w:val="000000"/>
        </w:rPr>
        <w:t>что ухудшает сохранение емкости</w:t>
      </w:r>
      <w:r w:rsidR="00CA3E63" w:rsidRPr="00122117">
        <w:rPr>
          <w:color w:val="000000"/>
        </w:rPr>
        <w:t xml:space="preserve"> </w:t>
      </w:r>
      <w:r w:rsidR="0030477B" w:rsidRPr="0030477B">
        <w:rPr>
          <w:color w:val="000000"/>
        </w:rPr>
        <w:t>[2]</w:t>
      </w:r>
      <w:r w:rsidRPr="00122117">
        <w:rPr>
          <w:color w:val="000000"/>
        </w:rPr>
        <w:t>.</w:t>
      </w:r>
    </w:p>
    <w:p w14:paraId="2C1E8C6F" w14:textId="07E9EEBA" w:rsidR="00122117" w:rsidRPr="00122117" w:rsidRDefault="00122117" w:rsidP="00122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2117">
        <w:rPr>
          <w:color w:val="000000"/>
        </w:rPr>
        <w:t xml:space="preserve">В данной работе исследуются различные углеродные материалы для определения </w:t>
      </w:r>
      <w:r w:rsidR="00CA3E63">
        <w:rPr>
          <w:color w:val="000000"/>
        </w:rPr>
        <w:t xml:space="preserve">таких </w:t>
      </w:r>
      <w:r w:rsidRPr="00122117">
        <w:rPr>
          <w:color w:val="000000"/>
        </w:rPr>
        <w:t>электрохимических характеристик</w:t>
      </w:r>
      <w:r w:rsidR="00CA3E63">
        <w:rPr>
          <w:color w:val="000000"/>
        </w:rPr>
        <w:t xml:space="preserve">, как </w:t>
      </w:r>
      <w:r w:rsidRPr="00122117">
        <w:rPr>
          <w:color w:val="000000"/>
        </w:rPr>
        <w:t>емкост</w:t>
      </w:r>
      <w:r w:rsidR="00046F1F">
        <w:rPr>
          <w:color w:val="000000"/>
        </w:rPr>
        <w:t>ь</w:t>
      </w:r>
      <w:r w:rsidRPr="00122117">
        <w:rPr>
          <w:color w:val="000000"/>
        </w:rPr>
        <w:t>, кулоновск</w:t>
      </w:r>
      <w:r w:rsidR="00046F1F">
        <w:rPr>
          <w:color w:val="000000"/>
        </w:rPr>
        <w:t>ая</w:t>
      </w:r>
      <w:r w:rsidRPr="00122117">
        <w:rPr>
          <w:color w:val="000000"/>
        </w:rPr>
        <w:t xml:space="preserve"> эффективност</w:t>
      </w:r>
      <w:r w:rsidR="00046F1F">
        <w:rPr>
          <w:color w:val="000000"/>
        </w:rPr>
        <w:t>ь</w:t>
      </w:r>
      <w:r w:rsidRPr="00122117">
        <w:rPr>
          <w:color w:val="000000"/>
        </w:rPr>
        <w:t xml:space="preserve"> и циклируемост</w:t>
      </w:r>
      <w:r w:rsidR="00046F1F">
        <w:rPr>
          <w:color w:val="000000"/>
        </w:rPr>
        <w:t>ь</w:t>
      </w:r>
      <w:r w:rsidRPr="00122117">
        <w:rPr>
          <w:color w:val="000000"/>
        </w:rPr>
        <w:t xml:space="preserve"> в гибридной</w:t>
      </w:r>
      <w:r w:rsidR="00CA3E63">
        <w:rPr>
          <w:color w:val="000000"/>
        </w:rPr>
        <w:t xml:space="preserve"> натрий-ионной/натрий-металлической</w:t>
      </w:r>
      <w:r w:rsidRPr="00122117">
        <w:rPr>
          <w:color w:val="000000"/>
        </w:rPr>
        <w:t xml:space="preserve"> системе. Из выбранных углеродных материалов были </w:t>
      </w:r>
      <w:r w:rsidR="00046F1F">
        <w:rPr>
          <w:color w:val="000000"/>
        </w:rPr>
        <w:t>изготовлены</w:t>
      </w:r>
      <w:r w:rsidRPr="00122117">
        <w:rPr>
          <w:color w:val="000000"/>
        </w:rPr>
        <w:t xml:space="preserve"> электроды и собраны электрохимические ячейки, </w:t>
      </w:r>
      <w:r w:rsidR="00046F1F">
        <w:rPr>
          <w:color w:val="000000"/>
        </w:rPr>
        <w:t xml:space="preserve">которые </w:t>
      </w:r>
      <w:proofErr w:type="spellStart"/>
      <w:r w:rsidR="00CA3E63">
        <w:rPr>
          <w:color w:val="000000"/>
        </w:rPr>
        <w:t>циклировали</w:t>
      </w:r>
      <w:proofErr w:type="spellEnd"/>
      <w:r w:rsidR="00CA3E63">
        <w:rPr>
          <w:color w:val="000000"/>
        </w:rPr>
        <w:t xml:space="preserve"> </w:t>
      </w:r>
      <w:r w:rsidRPr="00122117">
        <w:rPr>
          <w:color w:val="000000"/>
        </w:rPr>
        <w:t>при плотност</w:t>
      </w:r>
      <w:r w:rsidR="00CA3E63">
        <w:rPr>
          <w:color w:val="000000"/>
        </w:rPr>
        <w:t>ях</w:t>
      </w:r>
      <w:r w:rsidRPr="00122117">
        <w:rPr>
          <w:color w:val="000000"/>
        </w:rPr>
        <w:t xml:space="preserve"> тока от 25 </w:t>
      </w:r>
      <w:proofErr w:type="gramStart"/>
      <w:r w:rsidRPr="00122117">
        <w:rPr>
          <w:color w:val="000000"/>
        </w:rPr>
        <w:t>мА/г</w:t>
      </w:r>
      <w:proofErr w:type="gramEnd"/>
      <w:r w:rsidRPr="00122117">
        <w:rPr>
          <w:color w:val="000000"/>
        </w:rPr>
        <w:t xml:space="preserve"> до 250 мА/г. Для более детального изучения морфологии электродов и осажденного натрия применялась растровая электронная микроскопия (РЭМ). </w:t>
      </w:r>
      <w:r w:rsidR="00046F1F">
        <w:rPr>
          <w:color w:val="000000"/>
        </w:rPr>
        <w:t>Были</w:t>
      </w:r>
      <w:r w:rsidRPr="00122117">
        <w:rPr>
          <w:color w:val="000000"/>
        </w:rPr>
        <w:t xml:space="preserve"> проведены электрохимические исследования с прикладыванием различного давления на электроды внутри ячейки от 195,2 до 585,8 КПа (от 25 до 75 кг).</w:t>
      </w:r>
    </w:p>
    <w:p w14:paraId="47BA11AC" w14:textId="1FDDBADE" w:rsidR="0030477B" w:rsidRPr="00122117" w:rsidRDefault="00CA3E63" w:rsidP="00046F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</w:t>
      </w:r>
      <w:r w:rsidR="0030477B" w:rsidRPr="0030477B">
        <w:rPr>
          <w:color w:val="000000"/>
        </w:rPr>
        <w:t xml:space="preserve">становлено, что </w:t>
      </w:r>
      <w:r>
        <w:rPr>
          <w:color w:val="000000"/>
        </w:rPr>
        <w:t xml:space="preserve">механизм </w:t>
      </w:r>
      <w:r w:rsidR="0030477B" w:rsidRPr="0030477B">
        <w:rPr>
          <w:color w:val="000000"/>
        </w:rPr>
        <w:t>электрохимического осаждения натрия завис</w:t>
      </w:r>
      <w:r>
        <w:rPr>
          <w:color w:val="000000"/>
        </w:rPr>
        <w:t>и</w:t>
      </w:r>
      <w:r w:rsidR="0030477B" w:rsidRPr="0030477B">
        <w:rPr>
          <w:color w:val="000000"/>
        </w:rPr>
        <w:t xml:space="preserve">т от типа углеродного материала, используемого в качестве электрода. В частности, неграфитизируемый углерод, полученный из лигнина, продемонстрировал кулоновскую эффективность на первом цикле 83,12%, а неграфитизируемый углерод из глюкозы </w:t>
      </w:r>
      <w:r>
        <w:rPr>
          <w:color w:val="000000"/>
        </w:rPr>
        <w:t xml:space="preserve">показал одно из самых высоких значений согласно литературным данным </w:t>
      </w:r>
      <w:r w:rsidR="0030477B" w:rsidRPr="0030477B">
        <w:rPr>
          <w:color w:val="000000"/>
        </w:rPr>
        <w:t>– 90,3%.</w:t>
      </w:r>
    </w:p>
    <w:p w14:paraId="022FC08C" w14:textId="4AD5811B" w:rsidR="00A02163" w:rsidRPr="0009449A" w:rsidRDefault="0030477B" w:rsidP="00174206">
      <w:pPr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гранта РНФ № 24-23-20052</w:t>
      </w:r>
      <w:r w:rsidR="00A02163" w:rsidRPr="00A02163">
        <w:rPr>
          <w:i/>
          <w:iCs/>
          <w:color w:val="000000"/>
        </w:rPr>
        <w:t>.</w:t>
      </w:r>
    </w:p>
    <w:p w14:paraId="0000000E" w14:textId="04D40B5A" w:rsidR="00130241" w:rsidRPr="0017420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D663409" w14:textId="6F421B55" w:rsidR="0030477B" w:rsidRPr="0030477B" w:rsidRDefault="0030477B" w:rsidP="000639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74206">
        <w:rPr>
          <w:color w:val="000000"/>
          <w:lang w:val="en-US"/>
        </w:rPr>
        <w:t xml:space="preserve">1. </w:t>
      </w:r>
      <w:proofErr w:type="spellStart"/>
      <w:r w:rsidRPr="0030477B">
        <w:rPr>
          <w:color w:val="000000"/>
          <w:lang w:val="en-US"/>
        </w:rPr>
        <w:t>Shpalter</w:t>
      </w:r>
      <w:proofErr w:type="spellEnd"/>
      <w:r w:rsidRPr="00174206">
        <w:rPr>
          <w:color w:val="000000"/>
          <w:lang w:val="en-US"/>
        </w:rPr>
        <w:t xml:space="preserve"> </w:t>
      </w:r>
      <w:r w:rsidRPr="0030477B">
        <w:rPr>
          <w:color w:val="000000"/>
          <w:lang w:val="en-US"/>
        </w:rPr>
        <w:t>Denis</w:t>
      </w:r>
      <w:r w:rsidRPr="00174206">
        <w:rPr>
          <w:color w:val="000000"/>
          <w:lang w:val="en-US"/>
        </w:rPr>
        <w:t xml:space="preserve">, </w:t>
      </w:r>
      <w:r w:rsidRPr="0030477B">
        <w:rPr>
          <w:color w:val="000000"/>
          <w:lang w:val="en-US"/>
        </w:rPr>
        <w:t>et</w:t>
      </w:r>
      <w:r w:rsidRPr="00174206">
        <w:rPr>
          <w:color w:val="000000"/>
          <w:lang w:val="en-US"/>
        </w:rPr>
        <w:t xml:space="preserve"> </w:t>
      </w:r>
      <w:r w:rsidRPr="0030477B">
        <w:rPr>
          <w:color w:val="000000"/>
          <w:lang w:val="en-US"/>
        </w:rPr>
        <w:t>al</w:t>
      </w:r>
      <w:r w:rsidRPr="00174206">
        <w:rPr>
          <w:color w:val="000000"/>
          <w:lang w:val="en-US"/>
        </w:rPr>
        <w:t xml:space="preserve">. </w:t>
      </w:r>
      <w:r w:rsidRPr="0030477B">
        <w:rPr>
          <w:color w:val="000000"/>
          <w:lang w:val="en-US"/>
        </w:rPr>
        <w:t>Journal of Power Sources 624 (2024): 235547.</w:t>
      </w:r>
    </w:p>
    <w:p w14:paraId="3486C755" w14:textId="214620C9" w:rsidR="00116478" w:rsidRDefault="0030477B" w:rsidP="000639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0477B">
        <w:rPr>
          <w:color w:val="000000"/>
          <w:lang w:val="en-US"/>
        </w:rPr>
        <w:t>2</w:t>
      </w:r>
      <w:r>
        <w:rPr>
          <w:color w:val="000000"/>
          <w:lang w:val="en-US"/>
        </w:rPr>
        <w:t>.</w:t>
      </w:r>
      <w:r w:rsidRPr="0030477B">
        <w:rPr>
          <w:color w:val="000000"/>
          <w:lang w:val="en-US"/>
        </w:rPr>
        <w:t xml:space="preserve"> Grayson Deysher, et al. Nature Energy 9 (2024) 1161-1172</w:t>
      </w:r>
      <w:r>
        <w:rPr>
          <w:color w:val="000000"/>
          <w:lang w:val="en-US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89572">
    <w:abstractNumId w:val="2"/>
  </w:num>
  <w:num w:numId="2" w16cid:durableId="639193827">
    <w:abstractNumId w:val="3"/>
  </w:num>
  <w:num w:numId="3" w16cid:durableId="68771009">
    <w:abstractNumId w:val="1"/>
  </w:num>
  <w:num w:numId="4" w16cid:durableId="177277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F1F"/>
    <w:rsid w:val="0006391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2117"/>
    <w:rsid w:val="00130241"/>
    <w:rsid w:val="00174206"/>
    <w:rsid w:val="001E61C2"/>
    <w:rsid w:val="001F0493"/>
    <w:rsid w:val="0022260A"/>
    <w:rsid w:val="002264EE"/>
    <w:rsid w:val="0023307C"/>
    <w:rsid w:val="0030477B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A3751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6790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A7CCF"/>
    <w:rsid w:val="00BF36F8"/>
    <w:rsid w:val="00BF4622"/>
    <w:rsid w:val="00C17F16"/>
    <w:rsid w:val="00C844E2"/>
    <w:rsid w:val="00C93240"/>
    <w:rsid w:val="00CA3E63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 Chernoukhov</cp:lastModifiedBy>
  <cp:revision>2</cp:revision>
  <dcterms:created xsi:type="dcterms:W3CDTF">2025-03-20T10:21:00Z</dcterms:created>
  <dcterms:modified xsi:type="dcterms:W3CDTF">2025-03-20T10:21:00Z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