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6AC1" w14:textId="19FCB033" w:rsidR="00A97B19" w:rsidRDefault="00000000">
      <w:pPr>
        <w:jc w:val="center"/>
        <w:rPr>
          <w:b/>
        </w:rPr>
      </w:pPr>
      <w:r>
        <w:rPr>
          <w:b/>
        </w:rPr>
        <w:t xml:space="preserve">Ароматические </w:t>
      </w:r>
      <w:proofErr w:type="spellStart"/>
      <w:r>
        <w:rPr>
          <w:b/>
        </w:rPr>
        <w:t>карбоксилаты</w:t>
      </w:r>
      <w:proofErr w:type="spellEnd"/>
      <w:r>
        <w:rPr>
          <w:b/>
        </w:rPr>
        <w:t xml:space="preserve"> лантанидов для высокотемпературной люминесцентной термометрии</w:t>
      </w:r>
    </w:p>
    <w:p w14:paraId="6315B116" w14:textId="77777777" w:rsidR="00A97B19" w:rsidRDefault="00000000">
      <w:pPr>
        <w:jc w:val="center"/>
        <w:rPr>
          <w:b/>
          <w:bCs/>
          <w:i/>
          <w:lang w:eastAsia="zh-CN"/>
        </w:rPr>
      </w:pPr>
      <w:r>
        <w:rPr>
          <w:b/>
          <w:bCs/>
          <w:i/>
        </w:rPr>
        <w:t xml:space="preserve">Ян </w:t>
      </w:r>
      <w:proofErr w:type="spellStart"/>
      <w:r>
        <w:rPr>
          <w:b/>
          <w:bCs/>
          <w:i/>
        </w:rPr>
        <w:t>Сижань</w:t>
      </w:r>
      <w:proofErr w:type="spellEnd"/>
      <w:r>
        <w:rPr>
          <w:rFonts w:eastAsia="Times New Roman"/>
          <w:b/>
          <w:bCs/>
          <w:i/>
        </w:rPr>
        <w:t xml:space="preserve">, </w:t>
      </w:r>
      <w:r>
        <w:rPr>
          <w:b/>
          <w:bCs/>
          <w:i/>
          <w:lang w:eastAsia="zh-CN"/>
        </w:rPr>
        <w:t>Целых Л.О.</w:t>
      </w:r>
    </w:p>
    <w:p w14:paraId="6BB6EDFA" w14:textId="77777777" w:rsidR="00A97B19" w:rsidRDefault="00000000">
      <w:pPr>
        <w:jc w:val="center"/>
        <w:rPr>
          <w:i/>
        </w:rPr>
      </w:pPr>
      <w:r>
        <w:rPr>
          <w:rFonts w:eastAsia="Times New Roman"/>
          <w:i/>
        </w:rPr>
        <w:t>Студент, 1 курс магистратуры</w:t>
      </w:r>
    </w:p>
    <w:p w14:paraId="0FB8208C" w14:textId="55509698" w:rsidR="00A97B19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  <w:r w:rsidR="00212828">
        <w:rPr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54F85851" w14:textId="77777777" w:rsidR="00A97B19" w:rsidRDefault="00000000">
      <w:pPr>
        <w:shd w:val="clear" w:color="auto" w:fill="FFFFFF"/>
        <w:jc w:val="center"/>
        <w:rPr>
          <w:color w:val="000000"/>
          <w:lang w:eastAsia="zh-CN"/>
        </w:rPr>
      </w:pPr>
      <w:r>
        <w:rPr>
          <w:i/>
          <w:color w:val="000000"/>
        </w:rPr>
        <w:t xml:space="preserve">E-mail: </w:t>
      </w:r>
      <w:proofErr w:type="spellStart"/>
      <w:r>
        <w:rPr>
          <w:rFonts w:hint="eastAsia"/>
          <w:i/>
          <w:color w:val="000000"/>
          <w:u w:val="single"/>
          <w:lang w:val="en-US" w:eastAsia="zh-CN"/>
        </w:rPr>
        <w:t>yangxiran</w:t>
      </w:r>
      <w:proofErr w:type="spellEnd"/>
      <w:r>
        <w:rPr>
          <w:rFonts w:hint="eastAsia"/>
          <w:i/>
          <w:color w:val="000000"/>
          <w:u w:val="single"/>
          <w:lang w:eastAsia="zh-CN"/>
        </w:rPr>
        <w:t>@</w:t>
      </w:r>
      <w:r>
        <w:rPr>
          <w:rFonts w:hint="eastAsia"/>
          <w:i/>
          <w:color w:val="000000"/>
          <w:u w:val="single"/>
          <w:lang w:val="en-US" w:eastAsia="zh-CN"/>
        </w:rPr>
        <w:t>rambler</w:t>
      </w:r>
      <w:r>
        <w:rPr>
          <w:rFonts w:hint="eastAsia"/>
          <w:i/>
          <w:color w:val="000000"/>
          <w:u w:val="single"/>
          <w:lang w:eastAsia="zh-CN"/>
        </w:rPr>
        <w:t>.</w:t>
      </w:r>
      <w:proofErr w:type="spellStart"/>
      <w:r>
        <w:rPr>
          <w:rFonts w:hint="eastAsia"/>
          <w:i/>
          <w:color w:val="000000"/>
          <w:u w:val="single"/>
          <w:lang w:val="en-US" w:eastAsia="zh-CN"/>
        </w:rPr>
        <w:t>ru</w:t>
      </w:r>
      <w:proofErr w:type="spellEnd"/>
    </w:p>
    <w:p w14:paraId="7AF0CBD2" w14:textId="77777777" w:rsidR="00212828" w:rsidRDefault="00000000">
      <w:pPr>
        <w:ind w:firstLine="397"/>
        <w:jc w:val="both"/>
      </w:pPr>
      <w:r>
        <w:t xml:space="preserve">Одним из перспективных направлений является разработка люминесцентных материалов, способных точно измерять температуру в экстремальных условиях, при этом люминесцентные термометры позволяют измерять температуру удаленно, на труднодоступных объектах. Лантаниды, обладающие уникальными спектроскопическими характеристиками, выступают важным объектом для создания таких материалов, а использование пары тербий-европий, обеспечивает </w:t>
      </w:r>
      <w:proofErr w:type="spellStart"/>
      <w:r>
        <w:t>рациометрию</w:t>
      </w:r>
      <w:proofErr w:type="spellEnd"/>
      <w:r>
        <w:t xml:space="preserve">, что позволяет избавиться от дополнительной калибровки термометра. Однако, несмотря на значительный прогресс в разработке люминесцентных термометров, проблема создания материалов с высокой термостойкостью и стабильностью характеристик остаётся нерешённой. Термическую стабильность можно увеличить, используя в качестве основы такого термометра высокостабильные </w:t>
      </w:r>
      <w:proofErr w:type="gramStart"/>
      <w:r>
        <w:t>металл-органические</w:t>
      </w:r>
      <w:proofErr w:type="gramEnd"/>
      <w:r>
        <w:t xml:space="preserve"> каркасы на основе </w:t>
      </w:r>
      <w:proofErr w:type="spellStart"/>
      <w:r>
        <w:t>карбоксилатов</w:t>
      </w:r>
      <w:proofErr w:type="spellEnd"/>
      <w:r>
        <w:t xml:space="preserve"> лантанидов.</w:t>
      </w:r>
    </w:p>
    <w:p w14:paraId="5653578D" w14:textId="77777777" w:rsidR="00A97B19" w:rsidRPr="00212828" w:rsidRDefault="00000000">
      <w:pPr>
        <w:ind w:firstLine="397"/>
        <w:jc w:val="both"/>
        <w:rPr>
          <w:color w:val="000000"/>
        </w:rPr>
      </w:pPr>
      <w:r w:rsidRPr="00212828">
        <w:rPr>
          <w:color w:val="000000"/>
        </w:rPr>
        <w:t xml:space="preserve">Целью данной работы является синтез и изучение свойств ароматических </w:t>
      </w:r>
      <w:proofErr w:type="spellStart"/>
      <w:r w:rsidRPr="00212828">
        <w:rPr>
          <w:color w:val="000000"/>
        </w:rPr>
        <w:t>карбоксилатов</w:t>
      </w:r>
      <w:proofErr w:type="spellEnd"/>
      <w:r w:rsidRPr="00212828">
        <w:rPr>
          <w:color w:val="000000"/>
        </w:rPr>
        <w:t xml:space="preserve"> лантанидов для их применения в высокотемпературной люминесцентной термометрии. В качестве объектов исследования были выбраны моно- и биметаллические координационные соединения тербия и европия </w:t>
      </w:r>
      <w:proofErr w:type="spellStart"/>
      <w:r w:rsidRPr="00212828">
        <w:rPr>
          <w:rFonts w:hint="eastAsia"/>
          <w:color w:val="000000"/>
          <w:lang w:val="en-US" w:eastAsia="zh-CN"/>
        </w:rPr>
        <w:t>Eu</w:t>
      </w:r>
      <w:r w:rsidRPr="00212828">
        <w:rPr>
          <w:rFonts w:hint="eastAsia"/>
          <w:color w:val="000000"/>
          <w:vertAlign w:val="subscript"/>
          <w:lang w:val="en-US" w:eastAsia="zh-CN"/>
        </w:rPr>
        <w:t>x</w:t>
      </w:r>
      <w:r w:rsidRPr="00212828">
        <w:rPr>
          <w:rFonts w:hint="eastAsia"/>
          <w:color w:val="000000"/>
          <w:lang w:val="en-US" w:eastAsia="zh-CN"/>
        </w:rPr>
        <w:t>Tb</w:t>
      </w:r>
      <w:proofErr w:type="spellEnd"/>
      <w:r w:rsidRPr="00212828">
        <w:rPr>
          <w:rFonts w:hint="eastAsia"/>
          <w:color w:val="000000"/>
          <w:vertAlign w:val="subscript"/>
          <w:lang w:eastAsia="zh-CN"/>
        </w:rPr>
        <w:t>1-</w:t>
      </w:r>
      <w:proofErr w:type="spellStart"/>
      <w:r w:rsidRPr="00212828">
        <w:rPr>
          <w:rFonts w:hint="eastAsia"/>
          <w:color w:val="000000"/>
          <w:vertAlign w:val="subscript"/>
          <w:lang w:val="en-US" w:eastAsia="zh-CN"/>
        </w:rPr>
        <w:t>x</w:t>
      </w:r>
      <w:r w:rsidRPr="00212828">
        <w:rPr>
          <w:rFonts w:hint="eastAsia"/>
          <w:color w:val="000000"/>
          <w:lang w:val="en-US" w:eastAsia="zh-CN"/>
        </w:rPr>
        <w:t>L</w:t>
      </w:r>
      <w:proofErr w:type="spellEnd"/>
      <w:r w:rsidRPr="00212828">
        <w:rPr>
          <w:rFonts w:hint="eastAsia"/>
          <w:color w:val="000000"/>
          <w:lang w:eastAsia="zh-CN"/>
        </w:rPr>
        <w:t xml:space="preserve"> (</w:t>
      </w:r>
      <w:r w:rsidRPr="00212828">
        <w:rPr>
          <w:color w:val="000000"/>
          <w:lang w:eastAsia="zh-CN"/>
        </w:rPr>
        <w:t xml:space="preserve">где </w:t>
      </w:r>
      <w:r w:rsidRPr="00212828">
        <w:rPr>
          <w:rFonts w:hint="eastAsia"/>
          <w:color w:val="000000"/>
          <w:lang w:val="en-US" w:eastAsia="zh-CN"/>
        </w:rPr>
        <w:t>L</w:t>
      </w:r>
      <w:r w:rsidRPr="00212828">
        <w:rPr>
          <w:rFonts w:hint="eastAsia"/>
          <w:color w:val="000000"/>
          <w:lang w:eastAsia="zh-CN"/>
        </w:rPr>
        <w:t xml:space="preserve"> =</w:t>
      </w:r>
      <w:r w:rsidRPr="00212828">
        <w:rPr>
          <w:color w:val="000000"/>
        </w:rPr>
        <w:t xml:space="preserve"> бензол-1</w:t>
      </w:r>
      <w:r w:rsidRPr="00212828">
        <w:rPr>
          <w:rFonts w:hint="eastAsia"/>
          <w:color w:val="000000"/>
          <w:lang w:eastAsia="zh-CN"/>
        </w:rPr>
        <w:t>,3,5-</w:t>
      </w:r>
      <w:r w:rsidRPr="00212828">
        <w:rPr>
          <w:color w:val="000000"/>
        </w:rPr>
        <w:t>трикарбоновая кислота</w:t>
      </w:r>
      <w:r w:rsidRPr="00212828">
        <w:rPr>
          <w:color w:val="000000"/>
          <w:lang w:eastAsia="zh-CN"/>
        </w:rPr>
        <w:t>)</w:t>
      </w:r>
      <w:r w:rsidRPr="00212828">
        <w:rPr>
          <w:color w:val="000000"/>
        </w:rPr>
        <w:t>.</w:t>
      </w:r>
    </w:p>
    <w:p w14:paraId="6DE13E81" w14:textId="77777777" w:rsidR="00A97B19" w:rsidRDefault="00000000">
      <w:pPr>
        <w:pStyle w:val="Normal1"/>
        <w:autoSpaceDE w:val="0"/>
        <w:snapToGrid w:val="0"/>
        <w:spacing w:before="0" w:after="0"/>
        <w:ind w:firstLine="397"/>
        <w:jc w:val="both"/>
        <w:rPr>
          <w:szCs w:val="24"/>
        </w:rPr>
      </w:pPr>
      <w:r>
        <w:rPr>
          <w:szCs w:val="24"/>
        </w:rPr>
        <w:t xml:space="preserve">В результате по обменной методике в воде был получен ряд ароматических </w:t>
      </w:r>
      <w:proofErr w:type="spellStart"/>
      <w:r>
        <w:rPr>
          <w:szCs w:val="24"/>
        </w:rPr>
        <w:t>карбоксилатов</w:t>
      </w:r>
      <w:proofErr w:type="spellEnd"/>
      <w:r>
        <w:rPr>
          <w:szCs w:val="24"/>
        </w:rPr>
        <w:t xml:space="preserve"> тербия-европия </w:t>
      </w:r>
      <w:proofErr w:type="spellStart"/>
      <w:r>
        <w:rPr>
          <w:rFonts w:hint="eastAsia"/>
          <w:szCs w:val="24"/>
          <w:lang w:val="en-US" w:eastAsia="zh-CN"/>
        </w:rPr>
        <w:t>Eu</w:t>
      </w:r>
      <w:r>
        <w:rPr>
          <w:rFonts w:hint="eastAsia"/>
          <w:szCs w:val="24"/>
          <w:vertAlign w:val="subscript"/>
          <w:lang w:val="en-US" w:eastAsia="zh-CN"/>
        </w:rPr>
        <w:t>x</w:t>
      </w:r>
      <w:r>
        <w:rPr>
          <w:rFonts w:hint="eastAsia"/>
          <w:szCs w:val="24"/>
          <w:lang w:val="en-US" w:eastAsia="zh-CN"/>
        </w:rPr>
        <w:t>Tb</w:t>
      </w:r>
      <w:proofErr w:type="spellEnd"/>
      <w:r>
        <w:rPr>
          <w:rFonts w:hint="eastAsia"/>
          <w:szCs w:val="24"/>
          <w:vertAlign w:val="subscript"/>
          <w:lang w:eastAsia="zh-CN"/>
        </w:rPr>
        <w:t>1-</w:t>
      </w:r>
      <w:proofErr w:type="spellStart"/>
      <w:proofErr w:type="gramStart"/>
      <w:r>
        <w:rPr>
          <w:rFonts w:hint="eastAsia"/>
          <w:szCs w:val="24"/>
          <w:vertAlign w:val="subscript"/>
          <w:lang w:val="en-US" w:eastAsia="zh-CN"/>
        </w:rPr>
        <w:t>x</w:t>
      </w:r>
      <w:r>
        <w:rPr>
          <w:rFonts w:hint="eastAsia"/>
          <w:szCs w:val="24"/>
          <w:lang w:val="en-US" w:eastAsia="zh-CN"/>
        </w:rPr>
        <w:t>L</w:t>
      </w:r>
      <w:proofErr w:type="spellEnd"/>
      <w:r>
        <w:rPr>
          <w:szCs w:val="24"/>
          <w:lang w:eastAsia="zh-CN"/>
        </w:rPr>
        <w:t>(</w:t>
      </w:r>
      <w:proofErr w:type="gramEnd"/>
      <w:r>
        <w:rPr>
          <w:rFonts w:hint="eastAsia"/>
          <w:szCs w:val="24"/>
          <w:lang w:val="en-US" w:eastAsia="zh-CN"/>
        </w:rPr>
        <w:t>H</w:t>
      </w:r>
      <w:r>
        <w:rPr>
          <w:rFonts w:hint="eastAsia"/>
          <w:szCs w:val="24"/>
          <w:vertAlign w:val="subscript"/>
          <w:lang w:eastAsia="zh-CN"/>
        </w:rPr>
        <w:t>2</w:t>
      </w:r>
      <w:r>
        <w:rPr>
          <w:rFonts w:hint="eastAsia"/>
          <w:szCs w:val="24"/>
          <w:lang w:val="en-US" w:eastAsia="zh-CN"/>
        </w:rPr>
        <w:t>O</w:t>
      </w:r>
      <w:r>
        <w:rPr>
          <w:szCs w:val="24"/>
          <w:lang w:eastAsia="zh-CN"/>
        </w:rPr>
        <w:t>)</w:t>
      </w:r>
      <w:r>
        <w:rPr>
          <w:szCs w:val="24"/>
          <w:vertAlign w:val="subscript"/>
          <w:lang w:eastAsia="zh-CN"/>
        </w:rPr>
        <w:t>6</w:t>
      </w:r>
      <w:r>
        <w:rPr>
          <w:szCs w:val="24"/>
        </w:rPr>
        <w:t xml:space="preserve"> (х = 0, 0</w:t>
      </w:r>
      <w:r>
        <w:rPr>
          <w:rFonts w:hint="eastAsia"/>
          <w:szCs w:val="24"/>
          <w:lang w:eastAsia="zh-CN"/>
        </w:rPr>
        <w:t>.</w:t>
      </w:r>
      <w:r>
        <w:rPr>
          <w:szCs w:val="24"/>
          <w:lang w:eastAsia="zh-CN"/>
        </w:rPr>
        <w:t>01</w:t>
      </w:r>
      <w:r>
        <w:rPr>
          <w:rFonts w:hint="eastAsia"/>
          <w:szCs w:val="24"/>
          <w:lang w:eastAsia="zh-CN"/>
        </w:rPr>
        <w:t>, 0.03, 0.1, 0.3, 0.5, 1</w:t>
      </w:r>
      <w:r>
        <w:rPr>
          <w:szCs w:val="24"/>
          <w:lang w:eastAsia="zh-CN"/>
        </w:rPr>
        <w:t>)</w:t>
      </w:r>
      <w:r>
        <w:rPr>
          <w:szCs w:val="24"/>
        </w:rPr>
        <w:t xml:space="preserve">. Полная дегидратация происходит при 230 </w:t>
      </w:r>
      <w:proofErr w:type="spellStart"/>
      <w:r>
        <w:rPr>
          <w:szCs w:val="24"/>
          <w:vertAlign w:val="superscript"/>
        </w:rPr>
        <w:t>о</w:t>
      </w:r>
      <w:r>
        <w:rPr>
          <w:szCs w:val="24"/>
        </w:rPr>
        <w:t>С</w:t>
      </w:r>
      <w:proofErr w:type="spellEnd"/>
      <w:r>
        <w:rPr>
          <w:szCs w:val="24"/>
        </w:rPr>
        <w:t xml:space="preserve">, однако после охлаждения на воздухе, 1 молекула воды возвращается в координационную сферу. Поэтому отжиг </w:t>
      </w:r>
      <w:proofErr w:type="spellStart"/>
      <w:r>
        <w:rPr>
          <w:rFonts w:hint="eastAsia"/>
          <w:szCs w:val="24"/>
          <w:lang w:val="en-US" w:eastAsia="zh-CN"/>
        </w:rPr>
        <w:t>Eu</w:t>
      </w:r>
      <w:r>
        <w:rPr>
          <w:rFonts w:hint="eastAsia"/>
          <w:szCs w:val="24"/>
          <w:vertAlign w:val="subscript"/>
          <w:lang w:val="en-US" w:eastAsia="zh-CN"/>
        </w:rPr>
        <w:t>x</w:t>
      </w:r>
      <w:r>
        <w:rPr>
          <w:rFonts w:hint="eastAsia"/>
          <w:szCs w:val="24"/>
          <w:lang w:val="en-US" w:eastAsia="zh-CN"/>
        </w:rPr>
        <w:t>Tb</w:t>
      </w:r>
      <w:proofErr w:type="spellEnd"/>
      <w:r>
        <w:rPr>
          <w:rFonts w:hint="eastAsia"/>
          <w:szCs w:val="24"/>
          <w:vertAlign w:val="subscript"/>
          <w:lang w:eastAsia="zh-CN"/>
        </w:rPr>
        <w:t>1-</w:t>
      </w:r>
      <w:proofErr w:type="spellStart"/>
      <w:proofErr w:type="gramStart"/>
      <w:r>
        <w:rPr>
          <w:rFonts w:hint="eastAsia"/>
          <w:szCs w:val="24"/>
          <w:vertAlign w:val="subscript"/>
          <w:lang w:val="en-US" w:eastAsia="zh-CN"/>
        </w:rPr>
        <w:t>x</w:t>
      </w:r>
      <w:r>
        <w:rPr>
          <w:rFonts w:hint="eastAsia"/>
          <w:szCs w:val="24"/>
          <w:lang w:val="en-US" w:eastAsia="zh-CN"/>
        </w:rPr>
        <w:t>L</w:t>
      </w:r>
      <w:proofErr w:type="spellEnd"/>
      <w:r>
        <w:rPr>
          <w:szCs w:val="24"/>
          <w:lang w:eastAsia="zh-CN"/>
        </w:rPr>
        <w:t>(</w:t>
      </w:r>
      <w:proofErr w:type="gramEnd"/>
      <w:r>
        <w:rPr>
          <w:rFonts w:hint="eastAsia"/>
          <w:szCs w:val="24"/>
          <w:lang w:val="en-US" w:eastAsia="zh-CN"/>
        </w:rPr>
        <w:t>H</w:t>
      </w:r>
      <w:r>
        <w:rPr>
          <w:rFonts w:hint="eastAsia"/>
          <w:szCs w:val="24"/>
          <w:vertAlign w:val="subscript"/>
          <w:lang w:eastAsia="zh-CN"/>
        </w:rPr>
        <w:t>2</w:t>
      </w:r>
      <w:r>
        <w:rPr>
          <w:rFonts w:hint="eastAsia"/>
          <w:szCs w:val="24"/>
          <w:lang w:val="en-US" w:eastAsia="zh-CN"/>
        </w:rPr>
        <w:t>O</w:t>
      </w:r>
      <w:r>
        <w:rPr>
          <w:szCs w:val="24"/>
          <w:lang w:eastAsia="zh-CN"/>
        </w:rPr>
        <w:t>)</w:t>
      </w:r>
      <w:r>
        <w:rPr>
          <w:szCs w:val="24"/>
          <w:vertAlign w:val="subscript"/>
          <w:lang w:eastAsia="zh-CN"/>
        </w:rPr>
        <w:t>6</w:t>
      </w:r>
      <w:r>
        <w:rPr>
          <w:szCs w:val="24"/>
        </w:rPr>
        <w:t xml:space="preserve"> в печи при температуре 250 </w:t>
      </w:r>
      <w:proofErr w:type="spellStart"/>
      <w:r>
        <w:rPr>
          <w:szCs w:val="24"/>
          <w:vertAlign w:val="superscript"/>
        </w:rPr>
        <w:t>о</w:t>
      </w:r>
      <w:r>
        <w:rPr>
          <w:szCs w:val="24"/>
        </w:rPr>
        <w:t>С</w:t>
      </w:r>
      <w:proofErr w:type="spellEnd"/>
      <w:r>
        <w:rPr>
          <w:szCs w:val="24"/>
        </w:rPr>
        <w:t xml:space="preserve"> позволяет получить соединения состава</w:t>
      </w:r>
      <w:r>
        <w:rPr>
          <w:rFonts w:hint="eastAsia"/>
          <w:szCs w:val="24"/>
          <w:lang w:eastAsia="zh-CN"/>
        </w:rPr>
        <w:t xml:space="preserve"> </w:t>
      </w:r>
      <w:proofErr w:type="spellStart"/>
      <w:r>
        <w:rPr>
          <w:rFonts w:hint="eastAsia"/>
          <w:szCs w:val="24"/>
          <w:lang w:val="en-US" w:eastAsia="zh-CN"/>
        </w:rPr>
        <w:t>Eu</w:t>
      </w:r>
      <w:r>
        <w:rPr>
          <w:rFonts w:hint="eastAsia"/>
          <w:szCs w:val="24"/>
          <w:vertAlign w:val="subscript"/>
          <w:lang w:val="en-US" w:eastAsia="zh-CN"/>
        </w:rPr>
        <w:t>x</w:t>
      </w:r>
      <w:r>
        <w:rPr>
          <w:rFonts w:hint="eastAsia"/>
          <w:szCs w:val="24"/>
          <w:lang w:val="en-US" w:eastAsia="zh-CN"/>
        </w:rPr>
        <w:t>Tb</w:t>
      </w:r>
      <w:proofErr w:type="spellEnd"/>
      <w:r>
        <w:rPr>
          <w:rFonts w:hint="eastAsia"/>
          <w:szCs w:val="24"/>
          <w:vertAlign w:val="subscript"/>
          <w:lang w:eastAsia="zh-CN"/>
        </w:rPr>
        <w:t>1-</w:t>
      </w:r>
      <w:proofErr w:type="spellStart"/>
      <w:r>
        <w:rPr>
          <w:rFonts w:hint="eastAsia"/>
          <w:szCs w:val="24"/>
          <w:vertAlign w:val="subscript"/>
          <w:lang w:val="en-US" w:eastAsia="zh-CN"/>
        </w:rPr>
        <w:t>x</w:t>
      </w:r>
      <w:r>
        <w:rPr>
          <w:rFonts w:hint="eastAsia"/>
          <w:szCs w:val="24"/>
          <w:lang w:val="en-US" w:eastAsia="zh-CN"/>
        </w:rPr>
        <w:t>L</w:t>
      </w:r>
      <w:proofErr w:type="spellEnd"/>
      <w:r>
        <w:rPr>
          <w:szCs w:val="24"/>
          <w:lang w:eastAsia="zh-CN"/>
        </w:rPr>
        <w:t>(</w:t>
      </w:r>
      <w:r>
        <w:rPr>
          <w:rFonts w:hint="eastAsia"/>
          <w:szCs w:val="24"/>
          <w:lang w:val="en-US" w:eastAsia="zh-CN"/>
        </w:rPr>
        <w:t>H</w:t>
      </w:r>
      <w:r>
        <w:rPr>
          <w:rFonts w:hint="eastAsia"/>
          <w:szCs w:val="24"/>
          <w:vertAlign w:val="subscript"/>
          <w:lang w:eastAsia="zh-CN"/>
        </w:rPr>
        <w:t>2</w:t>
      </w:r>
      <w:r>
        <w:rPr>
          <w:rFonts w:hint="eastAsia"/>
          <w:szCs w:val="24"/>
          <w:lang w:val="en-US" w:eastAsia="zh-CN"/>
        </w:rPr>
        <w:t>O</w:t>
      </w:r>
      <w:r>
        <w:rPr>
          <w:szCs w:val="24"/>
          <w:lang w:eastAsia="zh-CN"/>
        </w:rPr>
        <w:t xml:space="preserve">), которые при нагревании образуют </w:t>
      </w:r>
      <w:proofErr w:type="spellStart"/>
      <w:r>
        <w:rPr>
          <w:rFonts w:hint="eastAsia"/>
          <w:szCs w:val="24"/>
          <w:lang w:val="en-US" w:eastAsia="zh-CN"/>
        </w:rPr>
        <w:t>Eu</w:t>
      </w:r>
      <w:r>
        <w:rPr>
          <w:rFonts w:hint="eastAsia"/>
          <w:szCs w:val="24"/>
          <w:vertAlign w:val="subscript"/>
          <w:lang w:val="en-US" w:eastAsia="zh-CN"/>
        </w:rPr>
        <w:t>x</w:t>
      </w:r>
      <w:r>
        <w:rPr>
          <w:rFonts w:hint="eastAsia"/>
          <w:szCs w:val="24"/>
          <w:lang w:val="en-US" w:eastAsia="zh-CN"/>
        </w:rPr>
        <w:t>Tb</w:t>
      </w:r>
      <w:proofErr w:type="spellEnd"/>
      <w:r>
        <w:rPr>
          <w:rFonts w:hint="eastAsia"/>
          <w:szCs w:val="24"/>
          <w:vertAlign w:val="subscript"/>
          <w:lang w:eastAsia="zh-CN"/>
        </w:rPr>
        <w:t>1-</w:t>
      </w:r>
      <w:proofErr w:type="spellStart"/>
      <w:r>
        <w:rPr>
          <w:rFonts w:hint="eastAsia"/>
          <w:szCs w:val="24"/>
          <w:vertAlign w:val="subscript"/>
          <w:lang w:val="en-US" w:eastAsia="zh-CN"/>
        </w:rPr>
        <w:t>x</w:t>
      </w:r>
      <w:r>
        <w:rPr>
          <w:rFonts w:hint="eastAsia"/>
          <w:szCs w:val="24"/>
          <w:lang w:val="en-US" w:eastAsia="zh-CN"/>
        </w:rPr>
        <w:t>L</w:t>
      </w:r>
      <w:proofErr w:type="spellEnd"/>
      <w:r>
        <w:rPr>
          <w:szCs w:val="24"/>
          <w:lang w:eastAsia="zh-CN"/>
        </w:rPr>
        <w:t xml:space="preserve">, термически стабильные до 400 </w:t>
      </w:r>
      <w:proofErr w:type="spellStart"/>
      <w:r>
        <w:rPr>
          <w:szCs w:val="24"/>
          <w:vertAlign w:val="superscript"/>
          <w:lang w:eastAsia="zh-CN"/>
        </w:rPr>
        <w:t>о</w:t>
      </w:r>
      <w:r>
        <w:rPr>
          <w:szCs w:val="24"/>
          <w:lang w:eastAsia="zh-CN"/>
        </w:rPr>
        <w:t>С</w:t>
      </w:r>
      <w:proofErr w:type="spellEnd"/>
      <w:r>
        <w:rPr>
          <w:szCs w:val="24"/>
          <w:lang w:eastAsia="zh-CN"/>
        </w:rPr>
        <w:t>.</w:t>
      </w:r>
      <w:r>
        <w:rPr>
          <w:szCs w:val="24"/>
        </w:rPr>
        <w:t xml:space="preserve"> Полученные соединения демонстрируют интенсивную и стабильную люминесценцию в широком температурном диапазоне (25-</w:t>
      </w:r>
      <w:r>
        <w:rPr>
          <w:rFonts w:hint="eastAsia"/>
          <w:szCs w:val="24"/>
          <w:lang w:eastAsia="zh-CN"/>
        </w:rPr>
        <w:t>400</w:t>
      </w:r>
      <w:r>
        <w:rPr>
          <w:szCs w:val="24"/>
          <w:lang w:val="en-US"/>
        </w:rPr>
        <w:t> </w:t>
      </w:r>
      <w:r>
        <w:rPr>
          <w:szCs w:val="24"/>
        </w:rPr>
        <w:t xml:space="preserve">°C), при этом в биметаллических соединениях интенсивность люминесценции тербия и европия изменяется не одинаково, что позволяет использовать в качестве сенсорного отклика </w:t>
      </w:r>
      <w:r>
        <w:rPr>
          <w:szCs w:val="24"/>
          <w:lang w:val="en-US"/>
        </w:rPr>
        <w:t>LIR</w:t>
      </w:r>
      <w:r>
        <w:rPr>
          <w:szCs w:val="24"/>
        </w:rPr>
        <w:t xml:space="preserve">. Подходящее для </w:t>
      </w:r>
      <w:proofErr w:type="spellStart"/>
      <w:r>
        <w:rPr>
          <w:szCs w:val="24"/>
        </w:rPr>
        <w:t>рациометрии</w:t>
      </w:r>
      <w:proofErr w:type="spellEnd"/>
      <w:r>
        <w:rPr>
          <w:szCs w:val="24"/>
        </w:rPr>
        <w:t xml:space="preserve"> соотношение интенсивностей полос люминесценции тербия и европия было достигнуто для соединений состава </w:t>
      </w:r>
      <w:r>
        <w:rPr>
          <w:rFonts w:hint="eastAsia"/>
          <w:szCs w:val="24"/>
          <w:lang w:val="en-US" w:eastAsia="zh-CN"/>
        </w:rPr>
        <w:t>Eu</w:t>
      </w:r>
      <w:r>
        <w:rPr>
          <w:rFonts w:hint="eastAsia"/>
          <w:szCs w:val="24"/>
          <w:vertAlign w:val="subscript"/>
          <w:lang w:eastAsia="zh-CN"/>
        </w:rPr>
        <w:t>0.1</w:t>
      </w:r>
      <w:r>
        <w:rPr>
          <w:rFonts w:hint="eastAsia"/>
          <w:szCs w:val="24"/>
          <w:lang w:val="en-US" w:eastAsia="zh-CN"/>
        </w:rPr>
        <w:t>Tb</w:t>
      </w:r>
      <w:r>
        <w:rPr>
          <w:rFonts w:hint="eastAsia"/>
          <w:szCs w:val="24"/>
          <w:vertAlign w:val="subscript"/>
          <w:lang w:eastAsia="zh-CN"/>
        </w:rPr>
        <w:t>0.9</w:t>
      </w:r>
      <w:proofErr w:type="gramStart"/>
      <w:r>
        <w:rPr>
          <w:rFonts w:hint="eastAsia"/>
          <w:szCs w:val="24"/>
          <w:lang w:val="en-US" w:eastAsia="zh-CN"/>
        </w:rPr>
        <w:t>L</w:t>
      </w:r>
      <w:r>
        <w:rPr>
          <w:szCs w:val="24"/>
          <w:lang w:eastAsia="zh-CN"/>
        </w:rPr>
        <w:t>(</w:t>
      </w:r>
      <w:proofErr w:type="gramEnd"/>
      <w:r>
        <w:rPr>
          <w:rFonts w:hint="eastAsia"/>
          <w:szCs w:val="24"/>
          <w:lang w:val="en-US" w:eastAsia="zh-CN"/>
        </w:rPr>
        <w:t>H</w:t>
      </w:r>
      <w:r>
        <w:rPr>
          <w:rFonts w:hint="eastAsia"/>
          <w:szCs w:val="24"/>
          <w:vertAlign w:val="subscript"/>
          <w:lang w:eastAsia="zh-CN"/>
        </w:rPr>
        <w:t>2</w:t>
      </w:r>
      <w:r>
        <w:rPr>
          <w:rFonts w:hint="eastAsia"/>
          <w:szCs w:val="24"/>
          <w:lang w:val="en-US" w:eastAsia="zh-CN"/>
        </w:rPr>
        <w:t>O</w:t>
      </w:r>
      <w:r>
        <w:rPr>
          <w:szCs w:val="24"/>
          <w:lang w:eastAsia="zh-CN"/>
        </w:rPr>
        <w:t>)</w:t>
      </w:r>
      <w:r>
        <w:rPr>
          <w:rFonts w:hint="eastAsia"/>
          <w:szCs w:val="24"/>
          <w:vertAlign w:val="subscript"/>
          <w:lang w:eastAsia="zh-CN"/>
        </w:rPr>
        <w:t>6</w:t>
      </w:r>
      <w:r>
        <w:rPr>
          <w:szCs w:val="24"/>
        </w:rPr>
        <w:t xml:space="preserve">, </w:t>
      </w:r>
      <w:r>
        <w:rPr>
          <w:rFonts w:hint="eastAsia"/>
          <w:szCs w:val="24"/>
          <w:lang w:val="en-US" w:eastAsia="zh-CN"/>
        </w:rPr>
        <w:t>Eu</w:t>
      </w:r>
      <w:r>
        <w:rPr>
          <w:rFonts w:hint="eastAsia"/>
          <w:szCs w:val="24"/>
          <w:vertAlign w:val="subscript"/>
          <w:lang w:eastAsia="zh-CN"/>
        </w:rPr>
        <w:t>0.03</w:t>
      </w:r>
      <w:r>
        <w:rPr>
          <w:rFonts w:hint="eastAsia"/>
          <w:szCs w:val="24"/>
          <w:lang w:val="en-US" w:eastAsia="zh-CN"/>
        </w:rPr>
        <w:t>Tb</w:t>
      </w:r>
      <w:r>
        <w:rPr>
          <w:rFonts w:hint="eastAsia"/>
          <w:szCs w:val="24"/>
          <w:vertAlign w:val="subscript"/>
          <w:lang w:eastAsia="zh-CN"/>
        </w:rPr>
        <w:t>0.97</w:t>
      </w:r>
      <w:r>
        <w:rPr>
          <w:rFonts w:hint="eastAsia"/>
          <w:szCs w:val="24"/>
          <w:lang w:val="en-US" w:eastAsia="zh-CN"/>
        </w:rPr>
        <w:t>L</w:t>
      </w:r>
      <w:r>
        <w:rPr>
          <w:szCs w:val="24"/>
          <w:lang w:eastAsia="zh-CN"/>
        </w:rPr>
        <w:t>(</w:t>
      </w:r>
      <w:r>
        <w:rPr>
          <w:rFonts w:hint="eastAsia"/>
          <w:szCs w:val="24"/>
          <w:lang w:val="en-US" w:eastAsia="zh-CN"/>
        </w:rPr>
        <w:t>H</w:t>
      </w:r>
      <w:r>
        <w:rPr>
          <w:rFonts w:hint="eastAsia"/>
          <w:szCs w:val="24"/>
          <w:vertAlign w:val="subscript"/>
          <w:lang w:eastAsia="zh-CN"/>
        </w:rPr>
        <w:t>2</w:t>
      </w:r>
      <w:r>
        <w:rPr>
          <w:rFonts w:hint="eastAsia"/>
          <w:szCs w:val="24"/>
          <w:lang w:val="en-US" w:eastAsia="zh-CN"/>
        </w:rPr>
        <w:t>O</w:t>
      </w:r>
      <w:r>
        <w:rPr>
          <w:szCs w:val="24"/>
          <w:lang w:eastAsia="zh-CN"/>
        </w:rPr>
        <w:t>).</w:t>
      </w:r>
      <w:r>
        <w:rPr>
          <w:szCs w:val="24"/>
        </w:rPr>
        <w:t xml:space="preserve"> Дегидратация приводит к высокой температурной чувствительности в диапазоне от 25 до 100 °C, а температурно-зависимые внутрисистемные переносы энергии обеспечивают температурную чувствительность вплоть до 400 °C, что делает их перспективными для использования в качестве основы бесконтактных термометров.</w:t>
      </w:r>
    </w:p>
    <w:sectPr w:rsidR="00A97B19">
      <w:pgSz w:w="11906" w:h="16838"/>
      <w:pgMar w:top="1134" w:right="1361" w:bottom="1134" w:left="136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C0"/>
    <w:rsid w:val="00040F41"/>
    <w:rsid w:val="00092EFB"/>
    <w:rsid w:val="000B0585"/>
    <w:rsid w:val="000E3F4A"/>
    <w:rsid w:val="001B6B95"/>
    <w:rsid w:val="00212828"/>
    <w:rsid w:val="00221068"/>
    <w:rsid w:val="002427A6"/>
    <w:rsid w:val="00264F69"/>
    <w:rsid w:val="00285C2C"/>
    <w:rsid w:val="0030665A"/>
    <w:rsid w:val="003816A6"/>
    <w:rsid w:val="00390E2A"/>
    <w:rsid w:val="003C1BCA"/>
    <w:rsid w:val="003E046B"/>
    <w:rsid w:val="003E79EF"/>
    <w:rsid w:val="003F08C8"/>
    <w:rsid w:val="00402B49"/>
    <w:rsid w:val="00471FDF"/>
    <w:rsid w:val="004A5A43"/>
    <w:rsid w:val="004D43F2"/>
    <w:rsid w:val="004D7078"/>
    <w:rsid w:val="00514FD7"/>
    <w:rsid w:val="0055142D"/>
    <w:rsid w:val="00594687"/>
    <w:rsid w:val="00665659"/>
    <w:rsid w:val="0066719E"/>
    <w:rsid w:val="006D42EB"/>
    <w:rsid w:val="007417BC"/>
    <w:rsid w:val="00805329"/>
    <w:rsid w:val="008223C0"/>
    <w:rsid w:val="00932366"/>
    <w:rsid w:val="009743E7"/>
    <w:rsid w:val="009B58B6"/>
    <w:rsid w:val="009F594E"/>
    <w:rsid w:val="00A2775A"/>
    <w:rsid w:val="00A97B19"/>
    <w:rsid w:val="00B544DE"/>
    <w:rsid w:val="00B67EEF"/>
    <w:rsid w:val="00C3198F"/>
    <w:rsid w:val="00CA6D08"/>
    <w:rsid w:val="00CB358C"/>
    <w:rsid w:val="00CC17E5"/>
    <w:rsid w:val="00D70AF0"/>
    <w:rsid w:val="00DB1888"/>
    <w:rsid w:val="00DC7120"/>
    <w:rsid w:val="00E121B1"/>
    <w:rsid w:val="00E6319B"/>
    <w:rsid w:val="00EC60DF"/>
    <w:rsid w:val="00ED5E54"/>
    <w:rsid w:val="00F034F0"/>
    <w:rsid w:val="00F50952"/>
    <w:rsid w:val="00F652BC"/>
    <w:rsid w:val="00F77BA9"/>
    <w:rsid w:val="00FA654C"/>
    <w:rsid w:val="00FF7D0C"/>
    <w:rsid w:val="0F1F7BFA"/>
    <w:rsid w:val="0FE85B16"/>
    <w:rsid w:val="151D7BB0"/>
    <w:rsid w:val="183D573F"/>
    <w:rsid w:val="189C686D"/>
    <w:rsid w:val="246B1C32"/>
    <w:rsid w:val="24745425"/>
    <w:rsid w:val="2E4D3595"/>
    <w:rsid w:val="318E200A"/>
    <w:rsid w:val="3284056D"/>
    <w:rsid w:val="370138CA"/>
    <w:rsid w:val="46774BEB"/>
    <w:rsid w:val="48B11A24"/>
    <w:rsid w:val="4A125911"/>
    <w:rsid w:val="54840334"/>
    <w:rsid w:val="58ED49F0"/>
    <w:rsid w:val="62B674A5"/>
    <w:rsid w:val="6AF13D21"/>
    <w:rsid w:val="6C4C370C"/>
    <w:rsid w:val="6FAD23E0"/>
    <w:rsid w:val="74E032CD"/>
    <w:rsid w:val="7C414AFD"/>
    <w:rsid w:val="7CC80187"/>
    <w:rsid w:val="7E8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A00191"/>
  <w15:docId w15:val="{151F0B8F-EBD8-4CC8-A248-1A40DEEB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>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тезисов:</dc:title>
  <dc:creator>tatjana</dc:creator>
  <cp:lastModifiedBy>Иван Chernoukhov</cp:lastModifiedBy>
  <cp:revision>2</cp:revision>
  <cp:lastPrinted>2025-01-20T15:28:00Z</cp:lastPrinted>
  <dcterms:created xsi:type="dcterms:W3CDTF">2025-03-27T14:31:00Z</dcterms:created>
  <dcterms:modified xsi:type="dcterms:W3CDTF">2025-03-27T14:31:00Z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F1540DA9ADE84CE49F1FAC4E4C4B8358_13</vt:lpwstr>
  </property>
</Properties>
</file>