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33A1102" w:rsidR="00130241" w:rsidRDefault="00B325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Электрофоретическое осаждение</w:t>
      </w:r>
      <w:r w:rsidR="003434C5">
        <w:rPr>
          <w:b/>
          <w:color w:val="000000"/>
        </w:rPr>
        <w:t xml:space="preserve"> функциональных покрытий на основе хитозана</w:t>
      </w:r>
      <w:r w:rsidR="00921D45">
        <w:rPr>
          <w:b/>
          <w:color w:val="000000"/>
        </w:rPr>
        <w:t xml:space="preserve"> </w:t>
      </w:r>
      <w:r w:rsidR="003434C5">
        <w:rPr>
          <w:b/>
          <w:color w:val="000000"/>
        </w:rPr>
        <w:t>из растворов угольной кислоты под давлением СО</w:t>
      </w:r>
      <w:r w:rsidR="003434C5" w:rsidRPr="003434C5">
        <w:rPr>
          <w:b/>
          <w:color w:val="000000"/>
          <w:vertAlign w:val="subscript"/>
        </w:rPr>
        <w:t>2</w:t>
      </w:r>
    </w:p>
    <w:p w14:paraId="00000002" w14:textId="4D252A01" w:rsidR="00130241" w:rsidRDefault="00BD50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Стамер</w:t>
      </w:r>
      <w:proofErr w:type="spellEnd"/>
      <w:r>
        <w:rPr>
          <w:b/>
          <w:i/>
          <w:color w:val="000000"/>
        </w:rPr>
        <w:t xml:space="preserve"> К.С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3434C5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Казарян П.С.</w:t>
      </w:r>
      <w:r w:rsidR="003434C5">
        <w:rPr>
          <w:b/>
          <w:i/>
          <w:color w:val="000000"/>
          <w:vertAlign w:val="superscript"/>
        </w:rPr>
        <w:t>2</w:t>
      </w:r>
      <w:r w:rsidRPr="00BD5076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Галлямов М.О.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00000003" w14:textId="741401CD" w:rsidR="00130241" w:rsidRPr="0012014E" w:rsidRDefault="00BD50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12014E">
        <w:rPr>
          <w:i/>
          <w:color w:val="000000"/>
        </w:rPr>
        <w:t>, 1 год обучения</w:t>
      </w:r>
    </w:p>
    <w:p w14:paraId="00000005" w14:textId="2D2A8A4C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BD5076">
        <w:rPr>
          <w:i/>
          <w:color w:val="000000"/>
        </w:rPr>
        <w:t>физический</w:t>
      </w:r>
      <w:r>
        <w:rPr>
          <w:i/>
          <w:color w:val="000000"/>
        </w:rPr>
        <w:t xml:space="preserve"> факультет, Москва, Россия</w:t>
      </w:r>
    </w:p>
    <w:p w14:paraId="3C53A72E" w14:textId="00C7BE32" w:rsidR="00AD7380" w:rsidRDefault="00EB1F49" w:rsidP="005035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3434C5">
        <w:rPr>
          <w:i/>
          <w:color w:val="000000"/>
        </w:rPr>
        <w:t>Институт элементоорганических соединений ИН</w:t>
      </w:r>
      <w:r w:rsidR="00BD5076">
        <w:rPr>
          <w:i/>
          <w:color w:val="000000"/>
        </w:rPr>
        <w:t>ЭОС РАН,</w:t>
      </w:r>
      <w:r w:rsidR="003434C5">
        <w:rPr>
          <w:i/>
          <w:color w:val="000000"/>
        </w:rPr>
        <w:t xml:space="preserve"> Москва,</w:t>
      </w:r>
      <w:r w:rsidR="00BD5076">
        <w:rPr>
          <w:i/>
          <w:color w:val="000000"/>
        </w:rPr>
        <w:t xml:space="preserve"> </w:t>
      </w:r>
      <w:r w:rsidR="00BF36F8">
        <w:rPr>
          <w:i/>
          <w:color w:val="000000"/>
        </w:rPr>
        <w:t>Россия</w:t>
      </w:r>
    </w:p>
    <w:p w14:paraId="68555CE6" w14:textId="2A26B6FD" w:rsidR="009F3380" w:rsidRPr="00AA1432" w:rsidRDefault="00EB1F49" w:rsidP="005035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AA1432">
        <w:rPr>
          <w:i/>
          <w:color w:val="000000"/>
          <w:lang w:val="en-US"/>
        </w:rPr>
        <w:t>E</w:t>
      </w:r>
      <w:r w:rsidR="003B76D6" w:rsidRPr="00AA1432">
        <w:rPr>
          <w:i/>
          <w:color w:val="000000"/>
          <w:lang w:val="en-US"/>
        </w:rPr>
        <w:t>-</w:t>
      </w:r>
      <w:r w:rsidRPr="00AA1432">
        <w:rPr>
          <w:i/>
          <w:color w:val="000000"/>
          <w:lang w:val="en-US"/>
        </w:rPr>
        <w:t xml:space="preserve">mail: </w:t>
      </w:r>
      <w:hyperlink r:id="rId6" w:history="1">
        <w:r w:rsidR="00BD5076" w:rsidRPr="00AA1432">
          <w:rPr>
            <w:rStyle w:val="a9"/>
            <w:i/>
            <w:color w:val="000000"/>
            <w:lang w:val="en-US"/>
          </w:rPr>
          <w:t>stamer.ks18@physics.msu.ru</w:t>
        </w:r>
      </w:hyperlink>
    </w:p>
    <w:p w14:paraId="6E659D3A" w14:textId="77777777" w:rsidR="00AA1432" w:rsidRDefault="00936268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Электрофоретическое осаждение</w:t>
      </w:r>
      <w:r w:rsidR="002D13EE">
        <w:rPr>
          <w:color w:val="000000"/>
        </w:rPr>
        <w:t xml:space="preserve"> (ЭФО)</w:t>
      </w:r>
      <w:r w:rsidR="008B3B89" w:rsidRPr="008B3B89">
        <w:rPr>
          <w:color w:val="000000"/>
        </w:rPr>
        <w:t xml:space="preserve"> </w:t>
      </w:r>
      <w:r w:rsidR="008B3B89">
        <w:rPr>
          <w:color w:val="000000"/>
        </w:rPr>
        <w:t>различных материалов</w:t>
      </w:r>
      <w:r>
        <w:rPr>
          <w:color w:val="000000"/>
        </w:rPr>
        <w:t xml:space="preserve"> на металлические подложки является широко используемым методом создания покрытий</w:t>
      </w:r>
      <w:r w:rsidR="008B3B89">
        <w:rPr>
          <w:color w:val="000000"/>
        </w:rPr>
        <w:t xml:space="preserve"> </w:t>
      </w:r>
      <w:r w:rsidR="008B3B89" w:rsidRPr="008B3B89">
        <w:rPr>
          <w:color w:val="000000"/>
        </w:rPr>
        <w:t>[1]</w:t>
      </w:r>
      <w:r>
        <w:rPr>
          <w:color w:val="000000"/>
        </w:rPr>
        <w:t>.</w:t>
      </w:r>
      <w:r w:rsidR="00120E71">
        <w:rPr>
          <w:color w:val="000000"/>
        </w:rPr>
        <w:t xml:space="preserve"> Разработка различных функциональных покрытий для </w:t>
      </w:r>
      <w:r>
        <w:rPr>
          <w:color w:val="000000"/>
        </w:rPr>
        <w:t>металлических издел</w:t>
      </w:r>
      <w:r w:rsidR="00120E71">
        <w:rPr>
          <w:color w:val="000000"/>
        </w:rPr>
        <w:t>ий актуальна</w:t>
      </w:r>
      <w:r>
        <w:rPr>
          <w:color w:val="000000"/>
        </w:rPr>
        <w:t xml:space="preserve"> для ряда задач биомедицинской об</w:t>
      </w:r>
      <w:r w:rsidR="00120E71">
        <w:rPr>
          <w:color w:val="000000"/>
        </w:rPr>
        <w:t>ласти. Так, например, нанесение</w:t>
      </w:r>
      <w:r>
        <w:rPr>
          <w:color w:val="000000"/>
        </w:rPr>
        <w:t xml:space="preserve"> биосовместимых антибактериальных покрытий</w:t>
      </w:r>
      <w:r w:rsidR="00120E71">
        <w:rPr>
          <w:color w:val="000000"/>
        </w:rPr>
        <w:t xml:space="preserve"> на</w:t>
      </w:r>
      <w:r w:rsidR="007F1FBA">
        <w:rPr>
          <w:color w:val="000000"/>
        </w:rPr>
        <w:t xml:space="preserve"> мет</w:t>
      </w:r>
      <w:r w:rsidR="00120E71">
        <w:rPr>
          <w:color w:val="000000"/>
        </w:rPr>
        <w:t>аллические имплантаты</w:t>
      </w:r>
      <w:r w:rsidR="007F1FBA">
        <w:rPr>
          <w:color w:val="000000"/>
        </w:rPr>
        <w:t xml:space="preserve"> позволяет д</w:t>
      </w:r>
      <w:r w:rsidR="00120E71">
        <w:rPr>
          <w:color w:val="000000"/>
        </w:rPr>
        <w:t>о</w:t>
      </w:r>
      <w:r w:rsidR="007F1FBA">
        <w:rPr>
          <w:color w:val="000000"/>
        </w:rPr>
        <w:t>стичь улучш</w:t>
      </w:r>
      <w:r w:rsidR="00985027">
        <w:rPr>
          <w:color w:val="000000"/>
        </w:rPr>
        <w:t>ения</w:t>
      </w:r>
      <w:r w:rsidR="007F1FBA">
        <w:rPr>
          <w:color w:val="000000"/>
        </w:rPr>
        <w:t xml:space="preserve"> </w:t>
      </w:r>
      <w:proofErr w:type="spellStart"/>
      <w:r w:rsidR="007F1FBA">
        <w:rPr>
          <w:color w:val="000000"/>
        </w:rPr>
        <w:t>остеоинтеграции</w:t>
      </w:r>
      <w:proofErr w:type="spellEnd"/>
      <w:r w:rsidR="007F1FBA">
        <w:rPr>
          <w:color w:val="000000"/>
        </w:rPr>
        <w:t xml:space="preserve"> импланта</w:t>
      </w:r>
      <w:r w:rsidR="00120E71">
        <w:rPr>
          <w:color w:val="000000"/>
        </w:rPr>
        <w:t>та</w:t>
      </w:r>
      <w:r w:rsidR="007F1FBA">
        <w:rPr>
          <w:color w:val="000000"/>
        </w:rPr>
        <w:t xml:space="preserve"> и умень</w:t>
      </w:r>
      <w:r w:rsidR="00985027">
        <w:rPr>
          <w:color w:val="000000"/>
        </w:rPr>
        <w:t xml:space="preserve">шить </w:t>
      </w:r>
      <w:r w:rsidR="007F1FBA">
        <w:rPr>
          <w:color w:val="000000"/>
        </w:rPr>
        <w:t>риск развития инфекций</w:t>
      </w:r>
      <w:r w:rsidR="00120E71">
        <w:rPr>
          <w:color w:val="000000"/>
        </w:rPr>
        <w:t xml:space="preserve"> после установки имплантата в организм</w:t>
      </w:r>
      <w:r w:rsidR="007F1FBA">
        <w:rPr>
          <w:color w:val="000000"/>
        </w:rPr>
        <w:t>. Другой важной проблемой является разработ</w:t>
      </w:r>
      <w:r w:rsidR="00120E71">
        <w:rPr>
          <w:color w:val="000000"/>
        </w:rPr>
        <w:t>ка</w:t>
      </w:r>
      <w:r w:rsidR="007F1FBA">
        <w:rPr>
          <w:color w:val="000000"/>
        </w:rPr>
        <w:t xml:space="preserve"> скользких</w:t>
      </w:r>
      <w:r w:rsidR="00120E71">
        <w:rPr>
          <w:color w:val="000000"/>
        </w:rPr>
        <w:t xml:space="preserve"> антимикробных</w:t>
      </w:r>
      <w:r w:rsidR="007F1FBA">
        <w:rPr>
          <w:color w:val="000000"/>
        </w:rPr>
        <w:t xml:space="preserve"> покрытий для обработки медицинских инструментов.</w:t>
      </w:r>
    </w:p>
    <w:p w14:paraId="0465ED78" w14:textId="77777777" w:rsidR="00AA1432" w:rsidRDefault="00936268" w:rsidP="008B3B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Хитозан – производное широко распространённого биополимера хитина – может быть нанесён на металл </w:t>
      </w:r>
      <w:r w:rsidR="00120E71">
        <w:rPr>
          <w:color w:val="000000"/>
        </w:rPr>
        <w:t xml:space="preserve">методом </w:t>
      </w:r>
      <w:r w:rsidR="002D13EE">
        <w:rPr>
          <w:color w:val="000000"/>
        </w:rPr>
        <w:t>ЭФО</w:t>
      </w:r>
      <w:r>
        <w:rPr>
          <w:color w:val="000000"/>
        </w:rPr>
        <w:t xml:space="preserve"> благодар</w:t>
      </w:r>
      <w:r w:rsidR="00120E71">
        <w:rPr>
          <w:color w:val="000000"/>
        </w:rPr>
        <w:t>я своей</w:t>
      </w:r>
      <w:r>
        <w:rPr>
          <w:color w:val="000000"/>
        </w:rPr>
        <w:t xml:space="preserve"> катионной природе. Биосовместимость, нетоксичность и выраженная антимикробная активность делают его актуальным </w:t>
      </w:r>
      <w:r w:rsidR="00120E71">
        <w:rPr>
          <w:color w:val="000000"/>
        </w:rPr>
        <w:t>материалом</w:t>
      </w:r>
      <w:r>
        <w:rPr>
          <w:color w:val="000000"/>
        </w:rPr>
        <w:t xml:space="preserve"> для задач биомедицинской области</w:t>
      </w:r>
      <w:r w:rsidR="008B3B89">
        <w:rPr>
          <w:color w:val="000000"/>
        </w:rPr>
        <w:t xml:space="preserve"> </w:t>
      </w:r>
      <w:r w:rsidR="008B3B89" w:rsidRPr="008B3B89">
        <w:rPr>
          <w:color w:val="000000"/>
        </w:rPr>
        <w:t>[2]</w:t>
      </w:r>
      <w:r>
        <w:rPr>
          <w:color w:val="000000"/>
        </w:rPr>
        <w:t xml:space="preserve">. </w:t>
      </w:r>
      <w:r w:rsidR="002D13EE">
        <w:rPr>
          <w:color w:val="000000"/>
        </w:rPr>
        <w:t xml:space="preserve">На практике в качестве растворителя хитозана чаще всего используют растворы </w:t>
      </w:r>
      <w:r w:rsidR="00985027">
        <w:rPr>
          <w:color w:val="000000"/>
        </w:rPr>
        <w:t xml:space="preserve">1 % об. </w:t>
      </w:r>
      <w:r w:rsidR="002D13EE">
        <w:rPr>
          <w:color w:val="000000"/>
        </w:rPr>
        <w:t xml:space="preserve">уксусной кислоты. В данной работе мы предлагаем </w:t>
      </w:r>
      <w:r w:rsidR="008B3B89">
        <w:rPr>
          <w:color w:val="000000"/>
        </w:rPr>
        <w:t>использовать</w:t>
      </w:r>
      <w:r w:rsidR="002D13EE">
        <w:rPr>
          <w:color w:val="000000"/>
        </w:rPr>
        <w:t xml:space="preserve"> двухфазную среду Н</w:t>
      </w:r>
      <w:r w:rsidR="002D13EE" w:rsidRPr="002D13EE">
        <w:rPr>
          <w:color w:val="000000"/>
          <w:vertAlign w:val="subscript"/>
        </w:rPr>
        <w:t>2</w:t>
      </w:r>
      <w:r w:rsidR="002D13EE">
        <w:rPr>
          <w:color w:val="000000"/>
        </w:rPr>
        <w:t>О/СО</w:t>
      </w:r>
      <w:r w:rsidR="002D13EE">
        <w:rPr>
          <w:color w:val="000000"/>
          <w:vertAlign w:val="subscript"/>
        </w:rPr>
        <w:t>2</w:t>
      </w:r>
      <w:r w:rsidR="002D13EE">
        <w:rPr>
          <w:color w:val="000000"/>
        </w:rPr>
        <w:t>, рН которой может быть снижен до 3 для эффективного растворения биополимера. Преимуществом данного растворителя в сравнении с традиционно используемыми является</w:t>
      </w:r>
      <w:r>
        <w:rPr>
          <w:color w:val="000000"/>
        </w:rPr>
        <w:t xml:space="preserve"> </w:t>
      </w:r>
      <w:r w:rsidR="002D13EE">
        <w:rPr>
          <w:color w:val="000000"/>
        </w:rPr>
        <w:t xml:space="preserve">улучшенная биосовместимость, связанная со способностью </w:t>
      </w:r>
      <w:r w:rsidR="00985027">
        <w:rPr>
          <w:color w:val="000000"/>
        </w:rPr>
        <w:t xml:space="preserve">двухфазной системы </w:t>
      </w:r>
      <w:r w:rsidR="002D13EE">
        <w:rPr>
          <w:color w:val="000000"/>
        </w:rPr>
        <w:t xml:space="preserve">к </w:t>
      </w:r>
      <w:proofErr w:type="spellStart"/>
      <w:r w:rsidR="002D13EE">
        <w:rPr>
          <w:color w:val="000000"/>
        </w:rPr>
        <w:t>самонейтрализации</w:t>
      </w:r>
      <w:proofErr w:type="spellEnd"/>
      <w:r w:rsidR="008B3B89">
        <w:rPr>
          <w:color w:val="000000"/>
        </w:rPr>
        <w:t xml:space="preserve"> при сбросе давления</w:t>
      </w:r>
      <w:r w:rsidR="002D13EE">
        <w:rPr>
          <w:color w:val="000000"/>
        </w:rPr>
        <w:t>.</w:t>
      </w:r>
      <w:r w:rsidR="008B3B89">
        <w:rPr>
          <w:color w:val="000000"/>
        </w:rPr>
        <w:t xml:space="preserve"> Более того,</w:t>
      </w:r>
      <w:r w:rsidR="002D13EE">
        <w:rPr>
          <w:color w:val="000000"/>
        </w:rPr>
        <w:t xml:space="preserve"> было показано, что в данной среде хитозан меньше агрегирует, чем в традиционных растворителях</w:t>
      </w:r>
      <w:r w:rsidR="008B3B89">
        <w:rPr>
          <w:color w:val="000000"/>
        </w:rPr>
        <w:t xml:space="preserve"> </w:t>
      </w:r>
      <w:r w:rsidR="008B3B89" w:rsidRPr="008B3B89">
        <w:rPr>
          <w:color w:val="000000"/>
        </w:rPr>
        <w:t xml:space="preserve">[3], </w:t>
      </w:r>
      <w:r w:rsidR="008B3B89">
        <w:rPr>
          <w:color w:val="000000"/>
        </w:rPr>
        <w:t>ч</w:t>
      </w:r>
      <w:r w:rsidR="002D13EE">
        <w:rPr>
          <w:color w:val="000000"/>
        </w:rPr>
        <w:t xml:space="preserve">то </w:t>
      </w:r>
      <w:r w:rsidR="008B3B89">
        <w:rPr>
          <w:color w:val="000000"/>
        </w:rPr>
        <w:t>при использовании</w:t>
      </w:r>
      <w:r w:rsidR="002D13EE">
        <w:rPr>
          <w:color w:val="000000"/>
        </w:rPr>
        <w:t xml:space="preserve"> метода ЭФО</w:t>
      </w:r>
      <w:r w:rsidR="00985027">
        <w:rPr>
          <w:color w:val="000000"/>
        </w:rPr>
        <w:t xml:space="preserve"> позволяет добиться улучшенной</w:t>
      </w:r>
      <w:r w:rsidR="002D13EE">
        <w:rPr>
          <w:color w:val="000000"/>
        </w:rPr>
        <w:t xml:space="preserve"> электрофоретической мобильности макромолекул.</w:t>
      </w:r>
    </w:p>
    <w:p w14:paraId="24A0D739" w14:textId="77777777" w:rsidR="00AA1432" w:rsidRDefault="00936268" w:rsidP="000E45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36268">
        <w:rPr>
          <w:color w:val="000000"/>
        </w:rPr>
        <w:t>В данной работе мы предложили новый способ электрофор</w:t>
      </w:r>
      <w:r w:rsidR="000E45EA">
        <w:rPr>
          <w:color w:val="000000"/>
        </w:rPr>
        <w:t xml:space="preserve">етического осаждения однородных </w:t>
      </w:r>
      <w:r w:rsidRPr="00936268">
        <w:rPr>
          <w:color w:val="000000"/>
        </w:rPr>
        <w:t xml:space="preserve">композитных пленок из хитозана и </w:t>
      </w:r>
      <w:proofErr w:type="spellStart"/>
      <w:r w:rsidRPr="00936268">
        <w:rPr>
          <w:color w:val="000000"/>
        </w:rPr>
        <w:t>полиэтиленгликоля</w:t>
      </w:r>
      <w:proofErr w:type="spellEnd"/>
      <w:r w:rsidRPr="00936268">
        <w:rPr>
          <w:color w:val="000000"/>
        </w:rPr>
        <w:t xml:space="preserve"> (ПЭГ)</w:t>
      </w:r>
      <w:r w:rsidR="000E45EA">
        <w:rPr>
          <w:color w:val="000000"/>
        </w:rPr>
        <w:t>/</w:t>
      </w:r>
      <w:proofErr w:type="spellStart"/>
      <w:r w:rsidR="000E45EA">
        <w:rPr>
          <w:color w:val="000000"/>
        </w:rPr>
        <w:t>полиметилгидросилоксана</w:t>
      </w:r>
      <w:proofErr w:type="spellEnd"/>
      <w:r w:rsidR="000E45EA">
        <w:rPr>
          <w:color w:val="000000"/>
        </w:rPr>
        <w:t xml:space="preserve"> (ПМГС)</w:t>
      </w:r>
      <w:r w:rsidRPr="00936268">
        <w:rPr>
          <w:color w:val="000000"/>
        </w:rPr>
        <w:t xml:space="preserve"> в</w:t>
      </w:r>
      <w:r w:rsidR="000E45EA">
        <w:rPr>
          <w:color w:val="000000"/>
        </w:rPr>
        <w:t xml:space="preserve"> двухфазной среде H</w:t>
      </w:r>
      <w:r w:rsidR="000E45EA" w:rsidRPr="000E45EA">
        <w:rPr>
          <w:color w:val="000000"/>
          <w:vertAlign w:val="subscript"/>
        </w:rPr>
        <w:t>2</w:t>
      </w:r>
      <w:r w:rsidR="000E45EA">
        <w:rPr>
          <w:color w:val="000000"/>
        </w:rPr>
        <w:t>O/CO</w:t>
      </w:r>
      <w:r w:rsidRPr="000E45EA">
        <w:rPr>
          <w:color w:val="000000"/>
          <w:vertAlign w:val="subscript"/>
        </w:rPr>
        <w:t>2</w:t>
      </w:r>
      <w:r w:rsidRPr="00936268">
        <w:rPr>
          <w:color w:val="000000"/>
        </w:rPr>
        <w:t xml:space="preserve"> под давлением.</w:t>
      </w:r>
    </w:p>
    <w:p w14:paraId="2FC0BC0E" w14:textId="32DBF33D" w:rsidR="000E45EA" w:rsidRDefault="00936268" w:rsidP="000E45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36268">
        <w:rPr>
          <w:color w:val="000000"/>
        </w:rPr>
        <w:t>Добавление в материал покрытия ПЭГ позволяет улуч</w:t>
      </w:r>
      <w:r w:rsidR="000E45EA">
        <w:rPr>
          <w:color w:val="000000"/>
        </w:rPr>
        <w:t xml:space="preserve">шить недостаточную механическую прочность </w:t>
      </w:r>
      <w:proofErr w:type="spellStart"/>
      <w:r w:rsidR="000E45EA">
        <w:rPr>
          <w:color w:val="000000"/>
        </w:rPr>
        <w:t>хитозановых</w:t>
      </w:r>
      <w:proofErr w:type="spellEnd"/>
      <w:r w:rsidR="000E45EA">
        <w:rPr>
          <w:color w:val="000000"/>
        </w:rPr>
        <w:t xml:space="preserve"> плёнок, в то время как использование ПМГС позволяет создать скользкое покрытие с дополнительной антимикробной ак</w:t>
      </w:r>
      <w:r w:rsidR="008B3B89">
        <w:rPr>
          <w:color w:val="000000"/>
        </w:rPr>
        <w:t>тивностью.</w:t>
      </w:r>
    </w:p>
    <w:p w14:paraId="249F5E34" w14:textId="77777777" w:rsidR="00AA1432" w:rsidRDefault="00936268" w:rsidP="000E45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36268">
        <w:rPr>
          <w:color w:val="000000"/>
        </w:rPr>
        <w:t>Взаимодейс</w:t>
      </w:r>
      <w:r w:rsidR="000E45EA">
        <w:rPr>
          <w:color w:val="000000"/>
        </w:rPr>
        <w:t>твие составляющих композитных покрытий</w:t>
      </w:r>
      <w:r w:rsidRPr="00936268">
        <w:rPr>
          <w:color w:val="000000"/>
        </w:rPr>
        <w:t xml:space="preserve"> изучено методами инфракрасной</w:t>
      </w:r>
      <w:r w:rsidR="000E45EA">
        <w:rPr>
          <w:color w:val="000000"/>
        </w:rPr>
        <w:t xml:space="preserve"> спектроскопии. </w:t>
      </w:r>
      <w:r w:rsidRPr="00936268">
        <w:rPr>
          <w:color w:val="000000"/>
        </w:rPr>
        <w:t>К</w:t>
      </w:r>
      <w:r w:rsidR="000E45EA">
        <w:rPr>
          <w:color w:val="000000"/>
        </w:rPr>
        <w:t>раевые</w:t>
      </w:r>
      <w:r w:rsidRPr="00936268">
        <w:rPr>
          <w:color w:val="000000"/>
        </w:rPr>
        <w:t xml:space="preserve"> углы капель воды на полученных покрытиях </w:t>
      </w:r>
      <w:r w:rsidR="000E45EA">
        <w:rPr>
          <w:color w:val="000000"/>
        </w:rPr>
        <w:t xml:space="preserve">хитозан/ПЭГ </w:t>
      </w:r>
      <w:r w:rsidRPr="00936268">
        <w:rPr>
          <w:color w:val="000000"/>
        </w:rPr>
        <w:t>находятся в оптимальном</w:t>
      </w:r>
      <w:r w:rsidR="000E45EA">
        <w:rPr>
          <w:color w:val="000000"/>
        </w:rPr>
        <w:t xml:space="preserve"> </w:t>
      </w:r>
      <w:r w:rsidRPr="00936268">
        <w:rPr>
          <w:color w:val="000000"/>
        </w:rPr>
        <w:t>диапазоне для проли</w:t>
      </w:r>
      <w:r w:rsidR="000E45EA">
        <w:rPr>
          <w:color w:val="000000"/>
        </w:rPr>
        <w:t>ферации костных клеток – 35-85</w:t>
      </w:r>
      <w:r w:rsidR="00C826B0" w:rsidRPr="00C826B0">
        <w:rPr>
          <w:color w:val="000000"/>
        </w:rPr>
        <w:t xml:space="preserve"> </w:t>
      </w:r>
      <w:r w:rsidR="000E45EA">
        <w:rPr>
          <w:color w:val="000000"/>
        </w:rPr>
        <w:t>°, в то время как для покрытий хитозан/ПМГС наблюдаются выраженные гидрофобность и низкая величина гистерезиса краевого угла смачивания.</w:t>
      </w:r>
      <w:r w:rsidRPr="00936268">
        <w:rPr>
          <w:color w:val="000000"/>
        </w:rPr>
        <w:t xml:space="preserve"> Покрытия демонстрируют высокую</w:t>
      </w:r>
      <w:r w:rsidR="000E45EA">
        <w:rPr>
          <w:color w:val="000000"/>
        </w:rPr>
        <w:t xml:space="preserve"> </w:t>
      </w:r>
      <w:r w:rsidRPr="00936268">
        <w:rPr>
          <w:color w:val="000000"/>
        </w:rPr>
        <w:t>антикоррозионную устойчивость благодаря высоко</w:t>
      </w:r>
      <w:r w:rsidR="000E45EA">
        <w:rPr>
          <w:color w:val="000000"/>
        </w:rPr>
        <w:t>й адгезии к металлу.</w:t>
      </w:r>
    </w:p>
    <w:p w14:paraId="022FC08C" w14:textId="47E2569E" w:rsidR="00A02163" w:rsidRPr="003434C5" w:rsidRDefault="003434C5" w:rsidP="003434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Д</w:t>
      </w:r>
      <w:r w:rsidRPr="003434C5">
        <w:rPr>
          <w:i/>
          <w:iCs/>
          <w:color w:val="000000"/>
        </w:rPr>
        <w:t>анная р</w:t>
      </w:r>
      <w:r>
        <w:rPr>
          <w:i/>
          <w:iCs/>
          <w:color w:val="000000"/>
        </w:rPr>
        <w:t xml:space="preserve">абота была поддержана грантом </w:t>
      </w:r>
      <w:r w:rsidRPr="003434C5">
        <w:rPr>
          <w:i/>
          <w:iCs/>
          <w:color w:val="000000"/>
        </w:rPr>
        <w:t>Фонда развития те</w:t>
      </w:r>
      <w:r>
        <w:rPr>
          <w:i/>
          <w:iCs/>
          <w:color w:val="000000"/>
        </w:rPr>
        <w:t xml:space="preserve">оретической физики и математики </w:t>
      </w:r>
      <w:r w:rsidRPr="003434C5">
        <w:rPr>
          <w:i/>
          <w:iCs/>
          <w:color w:val="000000"/>
        </w:rPr>
        <w:t>«БАЗИС»</w:t>
      </w:r>
      <w:r>
        <w:rPr>
          <w:i/>
          <w:iCs/>
          <w:color w:val="000000"/>
        </w:rPr>
        <w:t xml:space="preserve"> (№ </w:t>
      </w:r>
      <w:r w:rsidRPr="003434C5">
        <w:rPr>
          <w:i/>
          <w:iCs/>
          <w:color w:val="000000"/>
        </w:rPr>
        <w:t>24-2-10-19-1</w:t>
      </w:r>
      <w:r>
        <w:rPr>
          <w:i/>
          <w:iCs/>
          <w:color w:val="000000"/>
        </w:rPr>
        <w:t>)</w:t>
      </w:r>
      <w:r w:rsidRPr="003434C5">
        <w:rPr>
          <w:i/>
          <w:iCs/>
          <w:color w:val="000000"/>
        </w:rPr>
        <w:t>.</w:t>
      </w:r>
    </w:p>
    <w:p w14:paraId="0000000E" w14:textId="77777777" w:rsidR="00130241" w:rsidRPr="001334E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C16881A" w14:textId="2E3710CC" w:rsidR="008B3B89" w:rsidRDefault="008B3B89" w:rsidP="00AA14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 xml:space="preserve">1. </w:t>
      </w:r>
      <w:r w:rsidRPr="008B3B89">
        <w:rPr>
          <w:noProof/>
          <w:lang w:val="en-US"/>
        </w:rPr>
        <w:t xml:space="preserve">Besra </w:t>
      </w:r>
      <w:r>
        <w:rPr>
          <w:noProof/>
          <w:lang w:val="en-US"/>
        </w:rPr>
        <w:t xml:space="preserve">L., </w:t>
      </w:r>
      <w:r w:rsidRPr="008B3B89">
        <w:rPr>
          <w:noProof/>
          <w:lang w:val="en-US"/>
        </w:rPr>
        <w:t>Liu</w:t>
      </w:r>
      <w:r>
        <w:rPr>
          <w:noProof/>
          <w:lang w:val="en-US"/>
        </w:rPr>
        <w:t xml:space="preserve"> M. </w:t>
      </w:r>
      <w:r w:rsidRPr="008B3B89">
        <w:rPr>
          <w:noProof/>
          <w:lang w:val="en-US"/>
        </w:rPr>
        <w:t>A review on fundamentals and applications of e</w:t>
      </w:r>
      <w:r>
        <w:rPr>
          <w:noProof/>
          <w:lang w:val="en-US"/>
        </w:rPr>
        <w:t xml:space="preserve">lectrophoretic </w:t>
      </w:r>
      <w:r w:rsidR="00C826B0">
        <w:rPr>
          <w:noProof/>
          <w:lang w:val="en-US"/>
        </w:rPr>
        <w:t xml:space="preserve">deposition (EPD) // </w:t>
      </w:r>
      <w:r w:rsidR="00C826B0" w:rsidRPr="00C826B0">
        <w:rPr>
          <w:noProof/>
          <w:lang w:val="en-US"/>
        </w:rPr>
        <w:t>Prog. Mater. Sci</w:t>
      </w:r>
      <w:r>
        <w:rPr>
          <w:noProof/>
          <w:lang w:val="en-US"/>
        </w:rPr>
        <w:t>. 2007. Vol. 52. P. 1-61.</w:t>
      </w:r>
    </w:p>
    <w:p w14:paraId="721F84FE" w14:textId="5E471E3C" w:rsidR="008B3B89" w:rsidRDefault="00ED052C" w:rsidP="00AA14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>2.</w:t>
      </w:r>
      <w:r w:rsidRPr="00ED052C">
        <w:rPr>
          <w:lang w:val="en-US"/>
        </w:rPr>
        <w:t xml:space="preserve"> </w:t>
      </w:r>
      <w:r w:rsidRPr="00ED052C">
        <w:rPr>
          <w:noProof/>
          <w:lang w:val="en-US"/>
        </w:rPr>
        <w:t>Vunain</w:t>
      </w:r>
      <w:r>
        <w:rPr>
          <w:noProof/>
          <w:lang w:val="en-US"/>
        </w:rPr>
        <w:t xml:space="preserve"> E., </w:t>
      </w:r>
      <w:r w:rsidRPr="00ED052C">
        <w:rPr>
          <w:noProof/>
          <w:lang w:val="en-US"/>
        </w:rPr>
        <w:t xml:space="preserve">Mishra A.K., </w:t>
      </w:r>
      <w:r>
        <w:rPr>
          <w:noProof/>
          <w:lang w:val="en-US"/>
        </w:rPr>
        <w:t xml:space="preserve">Mamba </w:t>
      </w:r>
      <w:r w:rsidRPr="00ED052C">
        <w:rPr>
          <w:noProof/>
          <w:lang w:val="en-US"/>
        </w:rPr>
        <w:t>B.B.</w:t>
      </w:r>
      <w:r>
        <w:rPr>
          <w:noProof/>
          <w:lang w:val="en-US"/>
        </w:rPr>
        <w:t xml:space="preserve"> // </w:t>
      </w:r>
      <w:r w:rsidRPr="00ED052C">
        <w:rPr>
          <w:noProof/>
          <w:lang w:val="en-US"/>
        </w:rPr>
        <w:t>Fundamentals of chitos</w:t>
      </w:r>
      <w:r w:rsidR="00C826B0">
        <w:rPr>
          <w:noProof/>
          <w:lang w:val="en-US"/>
        </w:rPr>
        <w:t xml:space="preserve">an for biomedical applications in </w:t>
      </w:r>
      <w:r w:rsidRPr="00ED052C">
        <w:rPr>
          <w:noProof/>
          <w:lang w:val="en-US"/>
        </w:rPr>
        <w:t>Chitos</w:t>
      </w:r>
      <w:r>
        <w:rPr>
          <w:noProof/>
          <w:lang w:val="en-US"/>
        </w:rPr>
        <w:t>an Based Biomaterials.</w:t>
      </w:r>
      <w:r w:rsidR="00C826B0">
        <w:rPr>
          <w:noProof/>
          <w:lang w:val="en-US"/>
        </w:rPr>
        <w:t xml:space="preserve"> Ed.</w:t>
      </w:r>
      <w:r w:rsidR="00C826B0" w:rsidRPr="00C826B0">
        <w:rPr>
          <w:noProof/>
          <w:lang w:val="en-US"/>
        </w:rPr>
        <w:t xml:space="preserve"> Jennings</w:t>
      </w:r>
      <w:r w:rsidR="00C826B0">
        <w:rPr>
          <w:noProof/>
          <w:lang w:val="en-US"/>
        </w:rPr>
        <w:t xml:space="preserve"> J.A.</w:t>
      </w:r>
      <w:r w:rsidR="00C826B0" w:rsidRPr="00C826B0">
        <w:rPr>
          <w:noProof/>
          <w:lang w:val="en-US"/>
        </w:rPr>
        <w:t>, Bumgardner</w:t>
      </w:r>
      <w:r w:rsidR="00C826B0">
        <w:rPr>
          <w:noProof/>
          <w:lang w:val="en-US"/>
        </w:rPr>
        <w:t xml:space="preserve"> J.D.</w:t>
      </w:r>
      <w:r>
        <w:rPr>
          <w:noProof/>
          <w:lang w:val="en-US"/>
        </w:rPr>
        <w:t xml:space="preserve"> 2017. Vol 1. P</w:t>
      </w:r>
      <w:r w:rsidR="00C826B0">
        <w:rPr>
          <w:noProof/>
          <w:lang w:val="en-US"/>
        </w:rPr>
        <w:t>.</w:t>
      </w:r>
      <w:r>
        <w:rPr>
          <w:noProof/>
          <w:lang w:val="en-US"/>
        </w:rPr>
        <w:t xml:space="preserve"> 3-30</w:t>
      </w:r>
      <w:r w:rsidR="00C826B0">
        <w:rPr>
          <w:noProof/>
          <w:lang w:val="en-US"/>
        </w:rPr>
        <w:t>.</w:t>
      </w:r>
    </w:p>
    <w:p w14:paraId="473FF9EA" w14:textId="3CCA4923" w:rsidR="003434C5" w:rsidRDefault="00C826B0" w:rsidP="00AA14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>3. Pigaleva M.A., Portnov I.V., Rudov A.A., Blagodatskikh I.V.,</w:t>
      </w:r>
      <w:r w:rsidRPr="00C826B0">
        <w:rPr>
          <w:noProof/>
          <w:lang w:val="en-US"/>
        </w:rPr>
        <w:t xml:space="preserve"> Grigoriev</w:t>
      </w:r>
      <w:r>
        <w:rPr>
          <w:noProof/>
          <w:lang w:val="en-US"/>
        </w:rPr>
        <w:t xml:space="preserve"> T.E., Gallyamov M. O., Potemkin I.</w:t>
      </w:r>
      <w:r w:rsidRPr="00C826B0">
        <w:rPr>
          <w:noProof/>
          <w:lang w:val="en-US"/>
        </w:rPr>
        <w:t>I.</w:t>
      </w:r>
      <w:r>
        <w:rPr>
          <w:noProof/>
          <w:lang w:val="en-US"/>
        </w:rPr>
        <w:t xml:space="preserve"> </w:t>
      </w:r>
      <w:r w:rsidRPr="00C826B0">
        <w:rPr>
          <w:noProof/>
          <w:lang w:val="en-US"/>
        </w:rPr>
        <w:t>Stabilization of Chitosan Aggregates at the Nanoscale in Solutions i</w:t>
      </w:r>
      <w:r>
        <w:rPr>
          <w:noProof/>
          <w:lang w:val="en-US"/>
        </w:rPr>
        <w:t xml:space="preserve">n Carbonic Acid. // Macromolecules. 2014. Vol. 47. P. </w:t>
      </w:r>
      <w:r w:rsidRPr="00C826B0">
        <w:rPr>
          <w:noProof/>
          <w:lang w:val="en-US"/>
        </w:rPr>
        <w:t>5749–5758.</w:t>
      </w:r>
    </w:p>
    <w:sectPr w:rsidR="003434C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731882">
    <w:abstractNumId w:val="2"/>
  </w:num>
  <w:num w:numId="2" w16cid:durableId="1616868423">
    <w:abstractNumId w:val="3"/>
  </w:num>
  <w:num w:numId="3" w16cid:durableId="1750347519">
    <w:abstractNumId w:val="1"/>
  </w:num>
  <w:num w:numId="4" w16cid:durableId="66180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0E45EA"/>
    <w:rsid w:val="00101A1C"/>
    <w:rsid w:val="00103657"/>
    <w:rsid w:val="00106375"/>
    <w:rsid w:val="00107AA3"/>
    <w:rsid w:val="00116478"/>
    <w:rsid w:val="0012014E"/>
    <w:rsid w:val="00120E71"/>
    <w:rsid w:val="00130241"/>
    <w:rsid w:val="001334E0"/>
    <w:rsid w:val="001A6197"/>
    <w:rsid w:val="001E61C2"/>
    <w:rsid w:val="001F0493"/>
    <w:rsid w:val="0022260A"/>
    <w:rsid w:val="002264EE"/>
    <w:rsid w:val="0023307C"/>
    <w:rsid w:val="002D13EE"/>
    <w:rsid w:val="0031361E"/>
    <w:rsid w:val="003434C5"/>
    <w:rsid w:val="00391C38"/>
    <w:rsid w:val="003B76D6"/>
    <w:rsid w:val="003E2601"/>
    <w:rsid w:val="003F4E6B"/>
    <w:rsid w:val="00405FB2"/>
    <w:rsid w:val="004A26A3"/>
    <w:rsid w:val="004F0EDF"/>
    <w:rsid w:val="00503537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1FBA"/>
    <w:rsid w:val="007F2744"/>
    <w:rsid w:val="008931BE"/>
    <w:rsid w:val="008B3B89"/>
    <w:rsid w:val="008C67E3"/>
    <w:rsid w:val="00914205"/>
    <w:rsid w:val="00921D45"/>
    <w:rsid w:val="00936268"/>
    <w:rsid w:val="009426C0"/>
    <w:rsid w:val="00980A65"/>
    <w:rsid w:val="00985027"/>
    <w:rsid w:val="009A66DB"/>
    <w:rsid w:val="009B2F80"/>
    <w:rsid w:val="009B3300"/>
    <w:rsid w:val="009F3380"/>
    <w:rsid w:val="00A02163"/>
    <w:rsid w:val="00A314FE"/>
    <w:rsid w:val="00AA1432"/>
    <w:rsid w:val="00AD7380"/>
    <w:rsid w:val="00B325C7"/>
    <w:rsid w:val="00BD5076"/>
    <w:rsid w:val="00BF36F8"/>
    <w:rsid w:val="00BF4622"/>
    <w:rsid w:val="00C826B0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ED052C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mer.ks18@physics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19CAD4-67E3-4E33-9520-16B38AE7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Иван Chernoukhov</cp:lastModifiedBy>
  <cp:revision>2</cp:revision>
  <dcterms:created xsi:type="dcterms:W3CDTF">2025-03-22T19:50:00Z</dcterms:created>
  <dcterms:modified xsi:type="dcterms:W3CDTF">2025-03-22T19:50:00Z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