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365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6"/>
          <w:sz w:val="24"/>
          <w:szCs w:val="24"/>
        </w:rPr>
        <w:t>Роль регионального сотрудничества в процессе евразийской интеграции - на примере автономного района Внутренняя Монголия Китая</w:t>
      </w:r>
    </w:p>
    <w:p w14:paraId="1A9230E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Ван Юймэн</w:t>
      </w:r>
    </w:p>
    <w:p w14:paraId="6989E79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спирант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курс</w:t>
      </w:r>
    </w:p>
    <w:p w14:paraId="5CD22C9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</w:t>
      </w:r>
    </w:p>
    <w:p w14:paraId="306AD6B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14:paraId="053705A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>E–mail:</w:t>
      </w:r>
      <w:r>
        <w:rPr>
          <w:rFonts w:hint="default" w:ascii="Times New Roman" w:hAnsi="Times New Roman" w:cs="Times New Roman"/>
          <w:i/>
          <w:iCs/>
          <w:strike w:val="0"/>
          <w:dstrike w:val="0"/>
          <w:color w:val="auto"/>
          <w:sz w:val="24"/>
          <w:szCs w:val="24"/>
        </w:rPr>
        <w:t xml:space="preserve"> </w:t>
      </w:r>
      <w:r>
        <w:rPr>
          <w:rStyle w:val="14"/>
          <w:rFonts w:hint="default"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Style w:val="14"/>
          <w:rFonts w:hint="default" w:ascii="Times New Roman" w:hAnsi="Times New Roman" w:cs="Times New Roman"/>
          <w:i/>
          <w:iCs/>
          <w:sz w:val="24"/>
          <w:szCs w:val="24"/>
        </w:rPr>
        <w:instrText xml:space="preserve"> HYPERLINK "mailto:tianqimiao@yandex.com" </w:instrText>
      </w:r>
      <w:r>
        <w:rPr>
          <w:rStyle w:val="14"/>
          <w:rFonts w:hint="default"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i/>
          <w:iCs/>
          <w:sz w:val="24"/>
          <w:szCs w:val="24"/>
        </w:rPr>
        <w:t>tianqimiao@yandex.com</w:t>
      </w:r>
      <w:r>
        <w:rPr>
          <w:rStyle w:val="14"/>
          <w:rFonts w:hint="default" w:ascii="Times New Roman" w:hAnsi="Times New Roman" w:cs="Times New Roman"/>
          <w:i/>
          <w:iCs/>
          <w:sz w:val="24"/>
          <w:szCs w:val="24"/>
        </w:rPr>
        <w:fldChar w:fldCharType="end"/>
      </w:r>
    </w:p>
    <w:p w14:paraId="7C4C846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Евразийский регион является общей стратегической точкой опоры для российского «Большого евразийского партнерства» и китайской «Пояса и пути».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В контексте новой эры китайско-российского всеобъемлющего стратегического партнерства и сотрудничества Китай и Россия стратегически подходят друг другу в Евразийском регионе, поддерживают и сотрудничают друг с другом.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Автономный район Внутренняя Монголия Китая, имеющий общую границу с Монголией протяженностью 3 193 км и границу с Россией протяженностью 1 067 км, обладает географическим преимуществом, связанным с Монголией и Россией, и является не только ключевым районом для открытия Китая на север, но и важным узлом в строительстве «Экономического коридора Китай-Монголия-Россия»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[1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. </w:t>
      </w:r>
    </w:p>
    <w:p w14:paraId="604F6DA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Экономический коридор Китай-Монголия-Россия является одним из шести экономических коридоров в рамках инициативы «Пояс и путь». Внутренняя Монголия находится точно в «Поясе и пути» на севере и на западе, чтобы открыть международный экономический и торговый коридор для продвижения точки соединения, поэтому строительство Внутренней Монголии, связанной с евразийским экономическим и торговым транзитным коридором, очень необходимо для развития Китая и местных.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В июне 2023 года во время визита во Внутреннюю Монголию председатель КНР Си Цзиньпин подчеркнул, что Внутренняя Монголия «должна активно участвовать в строительстве „Пояса и пути“ и экономического коридора Китай-Монголия-Россия, повышать уровень открытости для внешнего мира и играть большую роль в соединении внутреннего и международного двойного цикла». ...... должен укреплять свои связи с Пекином-Тяньцзинь-Хэбэем, дельтой реки Янцзы, районом Большого залива Гуандун-Гонконг-Макао и тремя восточными провинциями, чтобы лучше интегрироваться во внутренний и международный двойной цикл»[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].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На этой основе Внутренняя Монголия активно развивает портовую экономику, содействует планированию и строительству пилотной зоны развития и открытия национальных ключей Маньчжоули и пилотной зоны сотрудничества между Китаем, Россией и Монголией Хулунбэйр, а продвижение ЗСТ между Китаем - Монголией и Китаем - Россией откроет новые возможности для регионального сотрудничества.</w:t>
      </w:r>
    </w:p>
    <w:p w14:paraId="0EF7C31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Однако автономный район Внутренняя Монголия, являющийся одним из стратегических районов «Экономического коридора Китай-Монголия-Россия», по-прежнему сталкивается с различными проблемами.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На внутреннем фронте существуют определенные различия в степени открытости различных регионов Внутренней Монголии, потенциал открытости и развития еще не реализован в полной мере, и синергетическое открытие региона все еще нуждается в ускорении.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По сравнению с «тремя северо-восточными провинциями» Китая, города восточной части Внутренней Монголии (т. е. основные города Внутренней Монголии для обмена с Россией) имеют разрыв в «стадии развития», а промышленная гомогенизация и конкуренция являются обычным явлением[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].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Кроме того, автономному району Внутренняя Монголия приходится балансировать между развитием сотрудничества как с Россией, так и с Монголией, поэтому направление развития региона требует дифференцированной планировки, что сдерживает региональное развитие.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С точки зрения международного сотрудничества, у России и Монголии богатые ресурсы, энергия и полезные ископаемые, что является важным преимуществом в международной торговле, поэтому страны Европы, Японии и Кореи, и даже страны Америки, готовы сотрудничать с Россией и Монголией.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Сейчас Россия находится на новом «перепутье», российско-украинский конфликт подходит к концу, смягчение отношений с США позволит России восстановить отношения с США, странами Европы и другими западными странами, как крупной международной державой, у России будет больше выбор.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С другой стороны, Монголия активно ищет других партнеров, помимо Китая и России, и выдвигает дипломатическую концепцию «третьего соседа», что усиливает нестабильные факторы трехстороннего сотрудничества Китай-Монголия-Россия.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Видно, что Россия и Монголия больше доминируют во внешнем сотрудничестве, что, в свою очередь, ослабило региональную конкурентоспособность Автономного района Внутренняя Монголия, который, хотя и занимает преимущество в расположении, все еще находится в положении избранного.</w:t>
      </w:r>
    </w:p>
    <w:p w14:paraId="43B1C4E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Однако географические преимущества Внутренней Монголии по-прежнему очевидны, поэтому, помимо экономического и торгового сотрудничества, область «мягкой силы» способна оказывать сильное излучающее воздействие на регион и за его пределами.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Существует огромный потенциал для сотрудничества в социальной и гуманитарной сферах Китая, Монголии и России, особенно в области образования, культуры, туризма, медицинского обслуживания, науки и техники, экологии и спорта, и три страны продемонстрировали сильную готовность к сотрудничеству за последний период времени.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Активное взаимодействие с Россией и Монголией, укрепление взаимного доверия и органичное сочетание текущего и долгосрочного развития могут способствовать более глубокому развитию китайско-монгольско-российского сотрудничества, что, в свою очередь, будет способствовать региональному сотрудничеству и развитию Большой евразийской интеграции.</w:t>
      </w:r>
    </w:p>
    <w:p w14:paraId="47A92A8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4"/>
          <w:szCs w:val="24"/>
          <w:lang w:val="en-US" w:eastAsia="zh-CN"/>
        </w:rPr>
        <w:t>Литература</w:t>
      </w:r>
    </w:p>
    <w:p w14:paraId="33473719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Дин, Цайся Обсуждение совершенствования политики и нормативных актов для открытия Внутренней Монголии на север в контексте «Один пояс, один путь» / Цайся Дин, Мэйсинь Чжао // Журнал Нормального университета Внутренней Монголии (издание по философии и социальным наукам). – 2020. – Т. 49, № 4. – С. 105-110.</w:t>
      </w:r>
    </w:p>
    <w:p w14:paraId="45E81168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Си Цзиньпин подчеркнул во время своего визита во Внутреннюю Монголию: «Освоить стратегическое положение, придерживаться „зеленого“ развития и стремиться написать новую главу модернизации Внутренней Монголии в китайском стиле». // Портал Центрального народного правительства Китайской Народной Республики : сайт. – URL: https://www.gov.cn/yaowen/liebiao/202306/content_6885245.htm (дата обращения: 02.03.2025)</w:t>
      </w:r>
    </w:p>
    <w:p w14:paraId="196BB47D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Чжоджигту, Эффективность, проблемы и меры противодействия, а также предложения по созданию важного плацдарма для открытия Китая на Север во Внутренней Монголии / Ч Чжоджигту // Социальные науки Внутренней Монголии. – 2024. – Т. 45, № 6. – С. 191-198.</w:t>
      </w:r>
      <w:bookmarkStart w:id="0" w:name="_GoBack"/>
      <w:bookmarkEnd w:id="0"/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33AC8"/>
    <w:multiLevelType w:val="singleLevel"/>
    <w:tmpl w:val="91B33AC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D0946"/>
    <w:rsid w:val="04A05430"/>
    <w:rsid w:val="07947302"/>
    <w:rsid w:val="2C194F73"/>
    <w:rsid w:val="3CB939B6"/>
    <w:rsid w:val="3F1D66A3"/>
    <w:rsid w:val="40B62F41"/>
    <w:rsid w:val="4539722B"/>
    <w:rsid w:val="4B7B0767"/>
    <w:rsid w:val="528501C0"/>
    <w:rsid w:val="5AA906D2"/>
    <w:rsid w:val="603619EF"/>
    <w:rsid w:val="6AB44D2A"/>
    <w:rsid w:val="7E8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论文正文"/>
    <w:link w:val="14"/>
    <w:autoRedefine/>
    <w:qFormat/>
    <w:uiPriority w:val="0"/>
    <w:pPr>
      <w:spacing w:line="360" w:lineRule="auto"/>
      <w:ind w:firstLine="709"/>
      <w:jc w:val="both"/>
    </w:pPr>
    <w:rPr>
      <w:rFonts w:ascii="Times New Roman" w:hAnsi="Times New Roman" w:eastAsia="Times New Roman" w:cstheme="minorBidi"/>
      <w:sz w:val="28"/>
      <w:szCs w:val="28"/>
      <w:lang w:val="ru-RU" w:eastAsia="ru-RU" w:bidi="ar-SA"/>
    </w:rPr>
  </w:style>
  <w:style w:type="paragraph" w:customStyle="1" w:styleId="9">
    <w:name w:val="论文标题1"/>
    <w:next w:val="8"/>
    <w:link w:val="13"/>
    <w:autoRedefine/>
    <w:qFormat/>
    <w:uiPriority w:val="0"/>
    <w:pPr>
      <w:bidi/>
      <w:spacing w:line="360" w:lineRule="auto"/>
      <w:ind w:firstLine="0"/>
      <w:jc w:val="center"/>
      <w:outlineLvl w:val="0"/>
    </w:pPr>
    <w:rPr>
      <w:rFonts w:hint="eastAsia" w:ascii="Times New Roman" w:hAnsi="Times New Roman" w:eastAsia="Times New Roman" w:cstheme="minorBidi"/>
      <w:b/>
      <w:bCs/>
      <w:sz w:val="28"/>
      <w:szCs w:val="28"/>
      <w:lang w:val="ru-RU" w:eastAsia="ru-RU" w:bidi="ar-SA"/>
    </w:rPr>
  </w:style>
  <w:style w:type="paragraph" w:customStyle="1" w:styleId="10">
    <w:name w:val="论文标题2"/>
    <w:next w:val="8"/>
    <w:autoRedefine/>
    <w:qFormat/>
    <w:uiPriority w:val="0"/>
    <w:pPr>
      <w:spacing w:line="360" w:lineRule="auto"/>
      <w:ind w:firstLine="709"/>
      <w:jc w:val="both"/>
      <w:outlineLvl w:val="1"/>
    </w:pPr>
    <w:rPr>
      <w:rFonts w:hint="eastAsia" w:ascii="Times New Roman" w:hAnsi="Times New Roman" w:eastAsia="Times New Roman" w:cstheme="minorBidi"/>
      <w:b/>
      <w:sz w:val="28"/>
      <w:szCs w:val="28"/>
      <w:lang w:val="ru-RU" w:eastAsia="ru-RU" w:bidi="ar-SA"/>
    </w:rPr>
  </w:style>
  <w:style w:type="paragraph" w:customStyle="1" w:styleId="11">
    <w:name w:val="论文标题3"/>
    <w:next w:val="8"/>
    <w:autoRedefine/>
    <w:qFormat/>
    <w:uiPriority w:val="0"/>
    <w:pPr>
      <w:spacing w:line="360" w:lineRule="auto"/>
      <w:ind w:firstLine="709"/>
      <w:jc w:val="both"/>
      <w:outlineLvl w:val="2"/>
    </w:pPr>
    <w:rPr>
      <w:rFonts w:hint="eastAsia" w:ascii="Times New Roman" w:hAnsi="Times New Roman" w:eastAsia="Times New Roman" w:cstheme="minorBidi"/>
      <w:b/>
      <w:i/>
      <w:sz w:val="28"/>
      <w:szCs w:val="28"/>
      <w:lang w:val="ru-RU" w:eastAsia="ru-RU" w:bidi="ar-SA"/>
    </w:rPr>
  </w:style>
  <w:style w:type="paragraph" w:customStyle="1" w:styleId="12">
    <w:name w:val="论文脚注"/>
    <w:basedOn w:val="8"/>
    <w:autoRedefine/>
    <w:qFormat/>
    <w:uiPriority w:val="0"/>
    <w:pPr>
      <w:snapToGri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13">
    <w:name w:val="论文标题1 Char"/>
    <w:link w:val="9"/>
    <w:uiPriority w:val="0"/>
    <w:rPr>
      <w:rFonts w:hint="eastAsia" w:ascii="Times New Roman" w:hAnsi="Times New Roman" w:eastAsia="Times New Roman" w:cstheme="minorBidi"/>
      <w:b/>
      <w:bCs/>
      <w:sz w:val="28"/>
      <w:szCs w:val="28"/>
      <w:lang w:val="ru-RU" w:eastAsia="ru-RU" w:bidi="ar-SA"/>
    </w:rPr>
  </w:style>
  <w:style w:type="character" w:customStyle="1" w:styleId="14">
    <w:name w:val="论文正文 Char"/>
    <w:link w:val="8"/>
    <w:uiPriority w:val="0"/>
    <w:rPr>
      <w:rFonts w:ascii="Times New Roman" w:hAnsi="Times New Roman" w:eastAsia="Times New Roman" w:cstheme="minorBidi"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253</Characters>
  <Lines>0</Lines>
  <Paragraphs>0</Paragraphs>
  <TotalTime>38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2025-03-02T18:34:00Z</dcterms:created>
  <dc:creator>王雨萌</dc:creator>
  <cp:lastModifiedBy>王雨萌</cp:lastModifiedBy>
  <dcterms:modified xsi:type="dcterms:W3CDTF">2025-03-02T22:37:22Z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6F4519D4178F4D268ED70D8ABFBD8112_13</vt:lpwstr>
  </property>
  <property fmtid="{D5CDD505-2E9C-101B-9397-08002B2CF9AE}" pid="4" name="KSOTemplateDocerSaveRecord">
    <vt:lpwstr>eyJoZGlkIjoiZDAzMTI1YzYwY2JhZDA3YTM0MmE1NzJkNDkyM2RjZDAiLCJ1c2VySWQiOiIxOTg1OTQ3OSJ9</vt:lpwstr>
  </property>
</Properties>
</file>