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567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Политика Турецкой Республики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Хатай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center"/>
        <w:spacing w:before="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  <w14:ligatures w14:val="none"/>
        </w:rPr>
        <w:t xml:space="preserve">Индюхова А.В.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аспирант, младший научный сотрудник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Южный федеральный университет,</w:t>
        <w:br/>
        <w:t xml:space="preserve">Центр междисциплинарных гуманитарных исследований, Ростов-на-Дону, Россия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center"/>
        <w:spacing w:before="0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E–mail: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 indiukhova@sfedu.ru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14:ligatures w14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Современные границы Турецкой Республики окончательно оформились в 1939 г. с присоединением Александреттского санджака (Хатая). Это стало возможным благодаря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последовательной политике турецкого государства по выводу данной территории из-под французского влияния.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активной работы протурецких печатных изданий, общественных центров и политических деятелей удалось достичь турецкого большинства на местных выборах в Национальное собрание санджака.</w:t>
      </w:r>
      <w:r>
        <w:rPr>
          <w:rFonts w:ascii="Times New Roman" w:hAnsi="Times New Roman" w:cs="Times New Roman"/>
          <w:sz w:val="24"/>
          <w:szCs w:val="24"/>
        </w:rPr>
        <w:t xml:space="preserve"> В сентябре 1938 г.</w:t>
      </w:r>
      <w:r>
        <w:rPr>
          <w:rFonts w:ascii="Times New Roman" w:hAnsi="Times New Roman" w:cs="Times New Roman"/>
          <w:sz w:val="24"/>
          <w:szCs w:val="24"/>
        </w:rPr>
        <w:t xml:space="preserve"> была провозглашена независимость Хатая, а уже меньше чем через год территория успешно вошла в состав Турции. Целью данного исследования является выявление механизмов по интегра</w:t>
      </w:r>
      <w:r>
        <w:rPr>
          <w:rFonts w:ascii="Times New Roman" w:hAnsi="Times New Roman" w:cs="Times New Roman"/>
          <w:sz w:val="24"/>
          <w:szCs w:val="24"/>
        </w:rPr>
        <w:t xml:space="preserve">ции Государства Хатай в Турецкую Республику.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зарубежной историографии широко представлена </w:t>
      </w:r>
      <w:r>
        <w:rPr>
          <w:rFonts w:ascii="Times New Roman" w:hAnsi="Times New Roman" w:cs="Times New Roman"/>
          <w:sz w:val="24"/>
          <w:szCs w:val="24"/>
        </w:rPr>
        <w:t xml:space="preserve">история «Хатайского вопроса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сследования </w:t>
      </w:r>
      <w:r>
        <w:rPr>
          <w:rFonts w:ascii="Times New Roman" w:hAnsi="Times New Roman" w:cs="Times New Roman"/>
          <w:sz w:val="24"/>
          <w:szCs w:val="24"/>
        </w:rPr>
        <w:t xml:space="preserve">XX в. в основном </w:t>
      </w:r>
      <w:r>
        <w:rPr>
          <w:rFonts w:ascii="Times New Roman" w:hAnsi="Times New Roman" w:cs="Times New Roman"/>
          <w:sz w:val="24"/>
          <w:szCs w:val="24"/>
        </w:rPr>
        <w:t xml:space="preserve">носят комплексный харак</w:t>
      </w:r>
      <w:r>
        <w:rPr>
          <w:rFonts w:ascii="Times New Roman" w:hAnsi="Times New Roman" w:cs="Times New Roman"/>
          <w:sz w:val="24"/>
          <w:szCs w:val="24"/>
        </w:rPr>
        <w:t xml:space="preserve">тер</w:t>
      </w:r>
      <w:r>
        <w:rPr>
          <w:rFonts w:ascii="Times New Roman" w:hAnsi="Times New Roman" w:cs="Times New Roman"/>
          <w:sz w:val="24"/>
          <w:szCs w:val="24"/>
        </w:rPr>
        <w:t xml:space="preserve">. Современные работы сужают научную проблематику, изучая </w:t>
      </w:r>
      <w:r>
        <w:rPr>
          <w:rFonts w:ascii="Times New Roman" w:hAnsi="Times New Roman" w:cs="Times New Roman"/>
          <w:sz w:val="24"/>
          <w:szCs w:val="24"/>
        </w:rPr>
        <w:t xml:space="preserve">отдельные аспекты территориального спора и влияния сторон на население санджака. </w:t>
      </w:r>
      <w:r>
        <w:rPr>
          <w:rFonts w:ascii="Times New Roman" w:hAnsi="Times New Roman" w:cs="Times New Roman"/>
          <w:sz w:val="24"/>
          <w:szCs w:val="24"/>
        </w:rPr>
        <w:t xml:space="preserve">В отечественной историографии рассматриваемый вопрос представлен в значит</w:t>
      </w:r>
      <w:r>
        <w:rPr>
          <w:rFonts w:ascii="Times New Roman" w:hAnsi="Times New Roman" w:cs="Times New Roman"/>
          <w:sz w:val="24"/>
          <w:szCs w:val="24"/>
        </w:rPr>
        <w:t xml:space="preserve">ельно меньшей степени. Комплексные исследования представлены единичными работами.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современной отечественной науке </w:t>
      </w:r>
      <w:r>
        <w:rPr>
          <w:rFonts w:ascii="Times New Roman" w:hAnsi="Times New Roman" w:cs="Times New Roman"/>
          <w:sz w:val="24"/>
          <w:szCs w:val="24"/>
        </w:rPr>
        <w:t xml:space="preserve">Хатай рассматривается в основном в контексте турецко-сирийских отношений.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политика Турции по интеграции Хатая требует дополнительного изучения. </w:t>
      </w:r>
      <w:r>
        <w:rPr>
          <w:rFonts w:ascii="Times New Roman" w:hAnsi="Times New Roman" w:cs="Times New Roman"/>
          <w:sz w:val="24"/>
          <w:szCs w:val="24"/>
        </w:rPr>
        <w:t xml:space="preserve">В рамках данного исследования в качестве источников были использованы мемуары президента Государства Хатай Тайфура Сёкмена, а также архивные документы. Был применен </w:t>
      </w:r>
      <w:r>
        <w:rPr>
          <w:rFonts w:ascii="Times New Roman" w:hAnsi="Times New Roman" w:cs="Times New Roman"/>
          <w:sz w:val="24"/>
          <w:szCs w:val="24"/>
        </w:rPr>
        <w:t xml:space="preserve">историко-системный метод.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 период с сентября 1938 г. по июнь 1939 г.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турецким правительством был принят ряд решений, способствующих постепенной интеграции Хатая в </w:t>
      </w:r>
      <w:r>
        <w:rPr>
          <w:rFonts w:ascii="Times New Roman" w:hAnsi="Times New Roman" w:cs="Times New Roman"/>
          <w:sz w:val="24"/>
          <w:szCs w:val="24"/>
        </w:rPr>
        <w:t xml:space="preserve">правовое, общественное и экономическое пр</w:t>
      </w:r>
      <w:r>
        <w:rPr>
          <w:rFonts w:ascii="Times New Roman" w:hAnsi="Times New Roman" w:cs="Times New Roman"/>
          <w:sz w:val="24"/>
          <w:szCs w:val="24"/>
        </w:rPr>
        <w:t xml:space="preserve">остранство Турции.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Продолжала действовать созданная в 1923 г. сеть общественных организаций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«Общество суверенитета Хатая»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основной целью которой было формирование турецкой идентичности у населения Хатая. В ее центрах преподавали турецкий язык и историю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[5]. Для этой цели была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организована поставка исторической литературы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из Турции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обосновывающей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единство турецкого и хатайского населени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[4].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В декабре 1938 г.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правительство Турции одобрило выдачу жителям Хатая турецких паспортов</w:t>
      </w:r>
      <w:r>
        <w:rPr>
          <w:rStyle w:val="825"/>
          <w:rFonts w:ascii="Times New Roman" w:hAnsi="Times New Roman" w:cs="Times New Roman"/>
          <w:sz w:val="24"/>
          <w:szCs w:val="24"/>
          <w:highlight w:val="none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[3], при этом собственные документы Государство Хатай за период своего существования так и не начало выдавать.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Руководящие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должности в государстве занимали либо прямые ставленники из Турции, либо аффилированные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 ней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лица. Так например,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президент Тайфур Сёкмен еще в период борьбы за независимость Хатая получил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место депутата в Великом национальном собрании Турции.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«Обществе суверенитета Хатая»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 генерального президент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 занимал зам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еститель министра внутренних дел Турции Шюкрю Кая, 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генерального секретаря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генеральный директор полиции Шюкрю Сёкменсюер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Хатай также активно посещали государственные служащие из Турции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[5].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Важной составляющей была экономическая интеграция. В ноябре 1938 г. в Турецкой Республике были принято постановлен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ие об утверждении льготы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в размере 99% от действующих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ставок таможенных тарифов на продукты и товары, произведенные в Хатае [2]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том же месяце одобрен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временный закон об освобождении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 таможенных пошлин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всех товаров, ввозимых в Хатай из Турции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[6]. В марте 1939 г.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Государство Хатай приняло турецкую лиру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в качестве официальной валюты государства [1]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Таким образом, существование Государства Хатай было переходным периодом для подготовки безболезненного вхождения территории в состав Турции. С этой целью была проведена работа по формированию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турецкой идентичности у жителей Хатая, взяты под контроль все ключевые государственные и общественные посты, проведена паспортизация населения, предприняты шаги по экономической интеграции.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  <w:t xml:space="preserve">Литература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1. Cumhuriyet Gazetesi. 18 Şub. 1939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Hatay Devleti'nin mahsul ve mamullerinin ithalini sağlamak için % 99 gümrük tarifesi vergilerinde tenzilat yapılması. (07.11.1938)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30-18-1-2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 /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85-95-8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3.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Hatay vatandaşlarının konsolosluklarımızdan alacakları pasaportlar ile seyahat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edebilmeleri. (01.12.1938)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30-18-1-2 / 85-100-14.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4. Nurettin Ardıç'ın Hatay Türklüğü hakkında yazdığı kitabından halkevle_riiçin satın alınmasının uygun olduğu. (28.06.1938) // T.C. Cumhurbaşkanlığı Devlet Arşivleri Başkanlığı. 490-1-0-0 / 852-366-1.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5. Sökmen T. Hatay'ın kurtuluşu için harcanan çabalar. İstanbul, 1999. 168 s.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firstLine="567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6.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Türkiye'den Hatay'a girecek olan bütün malların gümrükten muaf tutulmasına dair geçici kanunun kabul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edildiği. (03.11.1938)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30-10-0-0 / 224-514-3.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1361" w:bottom="1134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Noto Sans Devanagari"/>
  <w:font w:name="Liberation Serif;Times New Roman">
    <w:panose1 w:val="02020603050405020304"/>
  </w:font>
  <w:font w:name="Arial">
    <w:panose1 w:val="020B0604020202020204"/>
  </w:font>
  <w:font w:name="Noto Serif CJK SC"/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5">
    <w:name w:val="Heading 1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2"/>
    <w:basedOn w:val="664"/>
    <w:next w:val="840"/>
    <w:link w:val="667"/>
    <w:uiPriority w:val="9"/>
    <w:unhideWhenUsed/>
    <w:qFormat/>
    <w:rPr>
      <w:rFonts w:ascii="Liberation Sans" w:hAnsi="Liberation Sans" w:eastAsia="Liberation Sans" w:cs="Liberation Sans"/>
    </w:rPr>
  </w:style>
  <w:style w:type="character" w:styleId="667">
    <w:name w:val="Heading 2 Char"/>
    <w:link w:val="666"/>
    <w:uiPriority w:val="9"/>
    <w:rPr>
      <w:rFonts w:ascii="Liberation Sans" w:hAnsi="Liberation Sans" w:eastAsia="Liberation Sans" w:cs="Liberation Sans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9">
    <w:name w:val="Heading 3 Char"/>
    <w:link w:val="668"/>
    <w:uiPriority w:val="9"/>
    <w:rPr>
      <w:rFonts w:ascii="Liberation Sans" w:hAnsi="Liberation Sans" w:cs="Liberation Sans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;Times New Roman" w:hAnsi="Liberation Serif;Times New Roman" w:eastAsia="Noto Serif CJK SC" w:cs="Noto Sans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Индюхова</cp:lastModifiedBy>
  <cp:revision>6</cp:revision>
  <dcterms:modified xsi:type="dcterms:W3CDTF">2025-03-04T18:15:47Z</dcterms:modified>
</cp:coreProperties>
</file>