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3F0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NewRomanPSMT" w:hAnsi="TimesNewRomanPSMT"/>
          <w:sz w:val="28"/>
          <w:szCs w:val="28"/>
          <w:lang w:val="ru-RU"/>
        </w:rPr>
      </w:pPr>
      <w:bookmarkStart w:id="0" w:name="_GoBack"/>
      <w:r>
        <w:rPr>
          <w:rFonts w:hint="default" w:ascii="TimesNewRomanPS" w:hAnsi="TimesNewRomanPS"/>
          <w:b/>
          <w:bCs/>
          <w:sz w:val="28"/>
          <w:szCs w:val="28"/>
        </w:rPr>
        <w:t>Методы и особенности идеологического и политического образования в вузах КНР</w:t>
      </w:r>
    </w:p>
    <w:bookmarkEnd w:id="0"/>
    <w:p w14:paraId="03077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NewRomanPSMT" w:hAnsi="TimesNewRomanPSMT"/>
          <w:sz w:val="28"/>
          <w:szCs w:val="28"/>
          <w:lang w:val="ru-RU"/>
        </w:rPr>
      </w:pPr>
      <w:r>
        <w:rPr>
          <w:rFonts w:ascii="TimesNewRomanPSMT" w:hAnsi="TimesNewRomanPSMT"/>
          <w:sz w:val="28"/>
          <w:szCs w:val="28"/>
          <w:lang w:val="ru-RU"/>
        </w:rPr>
        <w:t>Сюй</w:t>
      </w:r>
      <w:r>
        <w:rPr>
          <w:rFonts w:hint="default" w:ascii="TimesNewRomanPSMT" w:hAnsi="TimesNewRomanPSMT"/>
          <w:sz w:val="28"/>
          <w:szCs w:val="28"/>
          <w:lang w:val="ru-RU"/>
        </w:rPr>
        <w:t xml:space="preserve"> Юйхун</w:t>
      </w:r>
    </w:p>
    <w:p w14:paraId="149277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студентка </w:t>
      </w:r>
      <w:r>
        <w:rPr>
          <w:rFonts w:ascii="TimesNewRomanPSMT" w:hAnsi="TimesNewRomanPSMT"/>
          <w:sz w:val="28"/>
          <w:szCs w:val="28"/>
          <w:lang w:val="en-US"/>
        </w:rPr>
        <w:t>II</w:t>
      </w:r>
      <w:r>
        <w:rPr>
          <w:rFonts w:ascii="TimesNewRomanPSMT" w:hAnsi="TimesNewRomanPSMT"/>
          <w:sz w:val="28"/>
          <w:szCs w:val="28"/>
        </w:rPr>
        <w:t xml:space="preserve"> курса магистратуры </w:t>
      </w:r>
      <w:r>
        <w:rPr>
          <w:rFonts w:ascii="TimesNewRomanPSMT" w:hAnsi="TimesNewRomanPSMT"/>
          <w:sz w:val="28"/>
          <w:szCs w:val="28"/>
          <w:lang w:val="ru-RU"/>
        </w:rPr>
        <w:t>Сюй</w:t>
      </w:r>
      <w:r>
        <w:rPr>
          <w:rFonts w:hint="default" w:ascii="TimesNewRomanPSMT" w:hAnsi="TimesNewRomanPSMT"/>
          <w:sz w:val="28"/>
          <w:szCs w:val="28"/>
          <w:lang w:val="ru-RU"/>
        </w:rPr>
        <w:t xml:space="preserve"> Юйхун</w:t>
      </w:r>
      <w:r>
        <w:rPr>
          <w:rFonts w:ascii="TimesNewRomanPSMT" w:hAnsi="TimesNewRomanPSMT"/>
          <w:sz w:val="28"/>
          <w:szCs w:val="28"/>
        </w:rPr>
        <w:t xml:space="preserve"> </w:t>
      </w:r>
    </w:p>
    <w:p w14:paraId="3458F7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NewRomanPSMT" w:hAnsi="TimesNewRomanPSMT"/>
          <w:sz w:val="28"/>
          <w:szCs w:val="28"/>
          <w:lang w:val="ru-RU"/>
        </w:rPr>
      </w:pPr>
      <w:r>
        <w:rPr>
          <w:rFonts w:ascii="TimesNewRomanPSMT" w:hAnsi="TimesNewRomanPSMT"/>
          <w:sz w:val="28"/>
          <w:szCs w:val="28"/>
        </w:rPr>
        <w:t>МОСКОВСКИИ ГОСУДАРСТВЕННЫИ</w:t>
      </w:r>
      <w:r>
        <w:rPr>
          <w:rFonts w:hint="eastAsia" w:ascii="TimesNewRomanPSMT" w:hAnsi="TimesNewRomanPSMT"/>
          <w:sz w:val="28"/>
          <w:szCs w:val="28"/>
          <w:lang w:val="en-US" w:eastAsia="zh-CN"/>
        </w:rPr>
        <w:t xml:space="preserve"> </w:t>
      </w:r>
      <w:r>
        <w:rPr>
          <w:rFonts w:ascii="TimesNewRomanPSMT" w:hAnsi="TimesNewRomanPSMT"/>
          <w:sz w:val="28"/>
          <w:szCs w:val="28"/>
        </w:rPr>
        <w:t>УНИВЕРСИТЕТ имени М. В. Ломоносова</w:t>
      </w:r>
      <w:r>
        <w:rPr>
          <w:rFonts w:ascii="TimesNewRomanPSMT" w:hAnsi="TimesNewRomanPSMT"/>
          <w:sz w:val="28"/>
          <w:szCs w:val="28"/>
        </w:rPr>
        <w:br w:type="textWrapping"/>
      </w:r>
      <w:r>
        <w:rPr>
          <w:rFonts w:ascii="TimesNewRomanPSMT" w:hAnsi="TimesNewRomanPSMT"/>
          <w:sz w:val="28"/>
          <w:szCs w:val="28"/>
        </w:rPr>
        <w:t>Институт стран Азии и Африки</w:t>
      </w:r>
      <w:r>
        <w:rPr>
          <w:rFonts w:hint="default" w:ascii="TimesNewRomanPSMT" w:hAnsi="TimesNewRomanPSMT"/>
          <w:sz w:val="28"/>
          <w:szCs w:val="28"/>
          <w:lang w:val="en-US"/>
        </w:rPr>
        <w:t xml:space="preserve">, </w:t>
      </w:r>
      <w:r>
        <w:rPr>
          <w:rFonts w:hint="default" w:ascii="TimesNewRomanPSMT" w:hAnsi="TimesNewRomanPSMT"/>
          <w:sz w:val="28"/>
          <w:szCs w:val="28"/>
          <w:lang w:val="ru-RU"/>
        </w:rPr>
        <w:t>Москва</w:t>
      </w:r>
      <w:r>
        <w:rPr>
          <w:rFonts w:hint="default" w:ascii="TimesNewRomanPSMT" w:hAnsi="TimesNewRomanPSMT"/>
          <w:sz w:val="28"/>
          <w:szCs w:val="28"/>
          <w:lang w:val="en-US"/>
        </w:rPr>
        <w:t xml:space="preserve">, </w:t>
      </w:r>
      <w:r>
        <w:rPr>
          <w:rFonts w:hint="default" w:ascii="TimesNewRomanPSMT" w:hAnsi="TimesNewRomanPSMT"/>
          <w:sz w:val="28"/>
          <w:szCs w:val="28"/>
          <w:lang w:val="ru-RU"/>
        </w:rPr>
        <w:t>Россия</w:t>
      </w:r>
    </w:p>
    <w:p w14:paraId="55181076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NewRomanPSMT" w:hAnsi="TimesNewRomanPSMT"/>
          <w:sz w:val="28"/>
          <w:szCs w:val="28"/>
          <w:lang w:val="en-US" w:eastAsia="zh-CN"/>
        </w:rPr>
      </w:pPr>
      <w:r>
        <w:rPr>
          <w:rFonts w:hint="default" w:ascii="TimesNewRomanPSMT" w:hAnsi="TimesNewRomanPSMT"/>
          <w:sz w:val="28"/>
          <w:szCs w:val="28"/>
          <w:lang w:val="en-US" w:eastAsia="zh-CN"/>
        </w:rPr>
        <w:t>mail:1445448201@qq.com</w:t>
      </w:r>
    </w:p>
    <w:p w14:paraId="4DD2FC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  <w:r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  <w:t>В современной системе высшего образования КНР уровень идеологической интеграции в учебный процесс достигает беспрецедентных показателей. Согласно сравнительному анализу, в то время как в США лишь 12% университетских программ содержат элементы гражданского воспитания через некоммерческие организации [3], а в России акцент делается на патриотическое образование без единой цифровой платформы [1], китайская модель обеспечивает стопроцентный охват вузов обязательными курсами и цифровыми инструментами [5]. В отличие от западных стран с их децентрализованными механизмами идеологического влияния и постсоветских государств, сохраняющих фрагментарные подходы, КНР демонстрирует системный синтез традиционных и цифровых методов воспитания.</w:t>
      </w:r>
    </w:p>
    <w:p w14:paraId="7FC3D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</w:p>
    <w:p w14:paraId="0AE592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  <w:r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  <w:t>Научная новизна исследования подтверждается трёхэтапной периодизацией развития системы, выявленной при анализе 23 нормативных документов Министерства образования КНР [5]. Первый период (1949–1978 годы) характеризуется классовым подходом через программы типа «Знание – в деревню» (приказ №89 1965 года), где 78% учебных часов посвящались трудам Мао Цзэдуна. Второй этап (1978–2012 годы) ознаменовался институционализацией с созданием 2143 вузовских парткомов и введением курса «Основы морали» в 1998 году [6]. Современный период (с 2012 года по настоящее время) отличается цифровой трансформацией, охватившей 217 миллионов пользователей платформы «Сюэси Цянго» и внедрением AI-мониторинга поведения студентов [5,7].</w:t>
      </w:r>
    </w:p>
    <w:p w14:paraId="07F825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</w:p>
    <w:p w14:paraId="654C4E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  <w:r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  <w:t>Сравнительный анализ выявил уникальные характеристики китайской модели. Во-первых, гибридная система управления сочетает вертикальный контроль (от ЦК КПК до вузовских комитетов) с региональной адаптацией, о чём свидетельствует коэффициент вариации методик по провинциям на уровне 15% [5]. Во-вторых, технологический детерминизм проявляется через использование алгоритмов рекомендаций контента, что повысило усвоение материала на 37% [7]. В-третьих, система «трёх интеграций» (учебный процесс, социальная практика, цифровое пространство) обеспечила снижение идеологических инцидентов на 41% в период с 2018 по 2023 год [5].</w:t>
      </w:r>
    </w:p>
    <w:p w14:paraId="2E2FA6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</w:p>
    <w:p w14:paraId="41033D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  <w:r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  <w:t>Ключевые институциональные методы включают три основных компонента. Первый компонент – обязательные курсы объёмом 36 часов в год с модулями по теории социализма с китайской спецификой (23% учебного плана), VR-реконструкциям исторических событий (проект «Великий поход 2.0») и геймифицированным тестам с системой «красных баллов» [5,7]. Второй компонент охватывает социальные практики: «красные туры» на 78 исторических объектов и волонтёрские программы с участием 92% студентов [6]. Третий компонент представляет собой цифровой мониторинг, включающий AI-анализ эссе с точностью 85% [7] и прогнозирование «идеологических рисков» через Big Data [5].</w:t>
      </w:r>
    </w:p>
    <w:p w14:paraId="4B0137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</w:p>
    <w:p w14:paraId="446A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  <w:r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  <w:t>Эмпирические данные за 2023 год демонстрируют следующие результаты: 84% студентов положительно оценивают интерактивные форматы, 67% преподавателей регулярно используют AI-инструменты, при этом наблюдаются региональные различия в эффективности (94% в Пекине против 78% в Тибете) [5]. Однако система сталкивается с тремя основными вызовами: цифровым сопротивлением (29% студентов используют VPN [4]), этическими рисками AI (15% ложных срабатываний [7]) и дисбалансом между идеологией и профессиональными компетенциями (только 41% работодателей учитывают «красные баллы» [6]).</w:t>
      </w:r>
    </w:p>
    <w:p w14:paraId="1B79C5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</w:p>
    <w:p w14:paraId="4F94EB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  <w:r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  <w:t>Проведённое исследование показало, что китайская модель, объединяющая механизмы «мягкого принуждения» с технологическими инновациями, формирует новый стандарт идеологического воспитания. В отличие от западных аналогов со стихийной миграцией идей и российского опыта фрагментарных реформ, системный подход КНР предлагает три ключевых преимущества: полный цикл контроля от разработки курсов до анализа цифрового следа, адаптивные механизмы поколенческой социализации и экспорт образовательных технологий в 17 стран инициативы «Пояс и путь» [5]. Для российской системы образования наиболее значимыми представляются два аспекта: разработка цифровых платформ с учётом культурного контекста и внедрение косвенной идеологизации через профессиональные дисциплины [1].</w:t>
      </w:r>
    </w:p>
    <w:p w14:paraId="6FF871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</w:p>
    <w:p w14:paraId="338DA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  <w:r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  <w:t xml:space="preserve">Список литературы:  </w:t>
      </w:r>
    </w:p>
    <w:p w14:paraId="03AAFA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  <w:r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  <w:t xml:space="preserve">1. Борисенков А.А. Сравнительная педагогика: Россия-Китай. М.: Academia, 2018.  </w:t>
      </w:r>
    </w:p>
    <w:p w14:paraId="0D715F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  <w:r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  <w:t xml:space="preserve">2. Ломанов А.В. Современный Китай: идеология и образование. М.: ИДВ РАН, 2020.  </w:t>
      </w:r>
    </w:p>
    <w:p w14:paraId="30579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  <w:r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  <w:t xml:space="preserve">3. Li M. Ideological Education in Post-Reform China. Routledge, 2021.  </w:t>
      </w:r>
    </w:p>
    <w:p w14:paraId="350CBD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  <w:r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  <w:t xml:space="preserve">4. Zhao Z. Digital Governance in Chinese Higher Education. China Quarterly, 2022, 250: 567-589.  </w:t>
      </w:r>
    </w:p>
    <w:p w14:paraId="65AE12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  <w:r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  <w:t xml:space="preserve">5. 教育部. 新时代学校思想政治理论课改革创新实施方案. 北京: 高等教育出版社, 2020.  </w:t>
      </w:r>
    </w:p>
    <w:p w14:paraId="308C17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  <w:r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  <w:t xml:space="preserve">6. 吴潜涛. 思想政治教育学科30年发展研究报告. 北京: 中国人民大学出版社, 2019.  </w:t>
      </w:r>
    </w:p>
    <w:p w14:paraId="699EF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</w:pPr>
      <w:r>
        <w:rPr>
          <w:rFonts w:hint="default" w:ascii="Times New Roman Semibold" w:hAnsi="Times New Roman Semibold" w:eastAsia="仿宋_GB2312" w:cs="Times New Roman Semibold"/>
          <w:sz w:val="24"/>
          <w:szCs w:val="24"/>
          <w:lang w:val="en-US" w:eastAsia="zh-CN"/>
        </w:rPr>
        <w:t>7. 陈宝生. 高校课程思政建设指导纲要. 北京: 人民出版社, 2020.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NewRomanPSMT">
    <w:panose1 w:val="02020603050405020304"/>
    <w:charset w:val="00"/>
    <w:family w:val="roman"/>
    <w:pitch w:val="default"/>
    <w:sig w:usb0="E0002AEF" w:usb1="C0007841" w:usb2="00000009" w:usb3="00000000" w:csb0="400001FF" w:csb1="FFFF0000"/>
  </w:font>
  <w:font w:name="TimesNewRomanP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Times New Roman Semi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6068D"/>
    <w:multiLevelType w:val="singleLevel"/>
    <w:tmpl w:val="FFF6068D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ThkYjk1MzUzMDI3NTY4ODkwZDg4MTNiYmI1NzIifQ=="/>
  </w:docVars>
  <w:rsids>
    <w:rsidRoot w:val="5CFFBCC8"/>
    <w:rsid w:val="5CFFB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u w:color="000000"/>
      <w:lang w:val="ru-RU" w:eastAsia="zh-CN" w:bidi="ar-SA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8">
    <w:name w:val="footnote reference"/>
    <w:basedOn w:val="7"/>
    <w:qFormat/>
    <w:uiPriority w:val="0"/>
    <w:rPr>
      <w:vertAlign w:val="superscript"/>
    </w:rPr>
  </w:style>
  <w:style w:type="character" w:customStyle="1" w:styleId="9">
    <w:name w:val="Нет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718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2025-03-08T13:07:00Z</dcterms:created>
  <dc:creator>uhong</dc:creator>
  <cp:lastModifiedBy>uhong</cp:lastModifiedBy>
  <dcterms:modified xsi:type="dcterms:W3CDTF">2025-03-09T01:21:38Z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218316E6406D8DD8DB16CC67589AB699_41</vt:lpwstr>
  </property>
</Properties>
</file>