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B48D5F0" w:rsidR="00130241" w:rsidRPr="00143167" w:rsidRDefault="00F70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143167">
        <w:rPr>
          <w:b/>
          <w:color w:val="000000"/>
        </w:rPr>
        <w:t>Дебаевское</w:t>
      </w:r>
      <w:proofErr w:type="spellEnd"/>
      <w:r w:rsidRPr="00143167">
        <w:rPr>
          <w:b/>
          <w:color w:val="000000"/>
        </w:rPr>
        <w:t xml:space="preserve"> приближение для </w:t>
      </w:r>
      <w:proofErr w:type="spellStart"/>
      <w:r w:rsidRPr="00143167">
        <w:rPr>
          <w:b/>
          <w:color w:val="000000"/>
        </w:rPr>
        <w:t>недебаевского</w:t>
      </w:r>
      <w:proofErr w:type="spellEnd"/>
      <w:r w:rsidRPr="00143167">
        <w:rPr>
          <w:b/>
          <w:color w:val="000000"/>
        </w:rPr>
        <w:t xml:space="preserve"> двойного слоя</w:t>
      </w:r>
    </w:p>
    <w:p w14:paraId="4F57E60D" w14:textId="4E92DF11" w:rsidR="00F701F7" w:rsidRPr="00143167" w:rsidRDefault="00F701F7" w:rsidP="00F701F7">
      <w:pPr>
        <w:pStyle w:val="ad"/>
        <w:rPr>
          <w:rStyle w:val="ac"/>
          <w:i/>
          <w:iCs/>
          <w:sz w:val="24"/>
          <w:szCs w:val="24"/>
        </w:rPr>
      </w:pPr>
      <w:r w:rsidRPr="00143167">
        <w:rPr>
          <w:i/>
          <w:iCs/>
          <w:sz w:val="24"/>
          <w:szCs w:val="24"/>
        </w:rPr>
        <w:t>Вандышев Г.К.</w:t>
      </w:r>
      <w:r w:rsidRPr="00143167">
        <w:rPr>
          <w:i/>
          <w:iCs/>
          <w:sz w:val="24"/>
          <w:szCs w:val="24"/>
          <w:vertAlign w:val="superscript"/>
        </w:rPr>
        <w:t>1,2</w:t>
      </w:r>
      <w:r w:rsidRPr="00143167">
        <w:rPr>
          <w:i/>
          <w:iCs/>
          <w:sz w:val="24"/>
          <w:szCs w:val="24"/>
        </w:rPr>
        <w:t xml:space="preserve">, </w:t>
      </w:r>
      <w:proofErr w:type="spellStart"/>
      <w:r w:rsidRPr="00143167">
        <w:rPr>
          <w:i/>
          <w:iCs/>
          <w:sz w:val="24"/>
          <w:szCs w:val="24"/>
        </w:rPr>
        <w:t>Ланкин</w:t>
      </w:r>
      <w:proofErr w:type="spellEnd"/>
      <w:r w:rsidRPr="00143167">
        <w:rPr>
          <w:i/>
          <w:iCs/>
          <w:sz w:val="24"/>
          <w:szCs w:val="24"/>
        </w:rPr>
        <w:t xml:space="preserve"> А.В.</w:t>
      </w:r>
      <w:r w:rsidRPr="00143167">
        <w:rPr>
          <w:i/>
          <w:iCs/>
          <w:sz w:val="24"/>
          <w:szCs w:val="24"/>
          <w:vertAlign w:val="superscript"/>
        </w:rPr>
        <w:t xml:space="preserve"> 1,2</w:t>
      </w:r>
      <w:r w:rsidRPr="00143167">
        <w:rPr>
          <w:i/>
          <w:iCs/>
          <w:sz w:val="24"/>
          <w:szCs w:val="24"/>
        </w:rPr>
        <w:t>, Норман Г.Э.</w:t>
      </w:r>
      <w:r w:rsidRPr="00143167">
        <w:rPr>
          <w:i/>
          <w:iCs/>
          <w:sz w:val="24"/>
          <w:szCs w:val="24"/>
          <w:vertAlign w:val="superscript"/>
        </w:rPr>
        <w:t xml:space="preserve"> </w:t>
      </w:r>
      <w:r w:rsidR="005724E0" w:rsidRPr="00143167">
        <w:rPr>
          <w:i/>
          <w:iCs/>
          <w:sz w:val="24"/>
          <w:szCs w:val="24"/>
          <w:vertAlign w:val="superscript"/>
        </w:rPr>
        <w:t>1,2,</w:t>
      </w:r>
      <w:r w:rsidRPr="00143167">
        <w:rPr>
          <w:i/>
          <w:iCs/>
          <w:sz w:val="24"/>
          <w:szCs w:val="24"/>
          <w:vertAlign w:val="superscript"/>
        </w:rPr>
        <w:t>3</w:t>
      </w:r>
      <w:r w:rsidRPr="00143167">
        <w:rPr>
          <w:rStyle w:val="ac"/>
          <w:i/>
          <w:iCs/>
          <w:sz w:val="24"/>
          <w:szCs w:val="24"/>
        </w:rPr>
        <w:t xml:space="preserve"> </w:t>
      </w:r>
    </w:p>
    <w:p w14:paraId="4ADACC43" w14:textId="77777777" w:rsidR="00F701F7" w:rsidRPr="00143167" w:rsidRDefault="00F701F7" w:rsidP="00F701F7">
      <w:pPr>
        <w:pStyle w:val="ad"/>
        <w:rPr>
          <w:b w:val="0"/>
          <w:bCs/>
          <w:i/>
          <w:color w:val="000000"/>
          <w:sz w:val="24"/>
          <w:szCs w:val="24"/>
        </w:rPr>
      </w:pPr>
      <w:r w:rsidRPr="00143167">
        <w:rPr>
          <w:b w:val="0"/>
          <w:bCs/>
          <w:i/>
          <w:color w:val="000000"/>
          <w:sz w:val="24"/>
          <w:szCs w:val="24"/>
        </w:rPr>
        <w:t>Студент, 1 курс магистратуры</w:t>
      </w:r>
    </w:p>
    <w:p w14:paraId="00E547C2" w14:textId="7C40E209" w:rsidR="00F701F7" w:rsidRPr="00143167" w:rsidRDefault="005724E0" w:rsidP="00F701F7">
      <w:pPr>
        <w:pStyle w:val="34"/>
        <w:keepNext/>
        <w:widowControl w:val="0"/>
        <w:spacing w:before="0" w:after="0"/>
        <w:rPr>
          <w:bCs/>
          <w:i/>
          <w:iCs/>
          <w:sz w:val="24"/>
          <w:szCs w:val="24"/>
        </w:rPr>
      </w:pPr>
      <w:r w:rsidRPr="00143167">
        <w:rPr>
          <w:i/>
          <w:iCs/>
          <w:sz w:val="24"/>
          <w:szCs w:val="24"/>
          <w:vertAlign w:val="superscript"/>
        </w:rPr>
        <w:t>1</w:t>
      </w:r>
      <w:r w:rsidR="00F701F7" w:rsidRPr="00143167">
        <w:rPr>
          <w:i/>
          <w:iCs/>
          <w:sz w:val="24"/>
          <w:szCs w:val="24"/>
        </w:rPr>
        <w:t xml:space="preserve">Московский физико-технический институт (Национальный исследовательский университет), Долгопрудный, </w:t>
      </w:r>
      <w:r w:rsidR="00F701F7" w:rsidRPr="00143167">
        <w:rPr>
          <w:bCs/>
          <w:i/>
          <w:iCs/>
          <w:sz w:val="24"/>
          <w:szCs w:val="24"/>
        </w:rPr>
        <w:t>Россия</w:t>
      </w:r>
    </w:p>
    <w:p w14:paraId="288AEF22" w14:textId="09338D62" w:rsidR="005724E0" w:rsidRPr="00143167" w:rsidRDefault="005724E0" w:rsidP="005724E0">
      <w:pPr>
        <w:pStyle w:val="ad"/>
        <w:rPr>
          <w:b w:val="0"/>
          <w:bCs/>
          <w:i/>
          <w:iCs/>
          <w:sz w:val="24"/>
          <w:szCs w:val="24"/>
        </w:rPr>
      </w:pPr>
      <w:r w:rsidRPr="00143167">
        <w:rPr>
          <w:rStyle w:val="ac"/>
          <w:b w:val="0"/>
          <w:bCs/>
          <w:i/>
          <w:iCs/>
          <w:sz w:val="24"/>
          <w:szCs w:val="24"/>
        </w:rPr>
        <w:t>2</w:t>
      </w:r>
      <w:r w:rsidRPr="00143167">
        <w:rPr>
          <w:b w:val="0"/>
          <w:bCs/>
          <w:i/>
          <w:iCs/>
          <w:sz w:val="24"/>
          <w:szCs w:val="24"/>
        </w:rPr>
        <w:t>Объединенный институт высоких температур РАН, Москва, Россия</w:t>
      </w:r>
    </w:p>
    <w:p w14:paraId="76FE8CE7" w14:textId="5D2618BA" w:rsidR="00F701F7" w:rsidRPr="00143167" w:rsidRDefault="00F701F7" w:rsidP="00F701F7">
      <w:pPr>
        <w:pStyle w:val="34"/>
        <w:keepNext/>
        <w:widowControl w:val="0"/>
        <w:spacing w:before="0" w:after="0"/>
        <w:rPr>
          <w:i/>
          <w:iCs/>
          <w:sz w:val="24"/>
          <w:szCs w:val="24"/>
        </w:rPr>
      </w:pPr>
      <w:r w:rsidRPr="00143167">
        <w:rPr>
          <w:i/>
          <w:iCs/>
          <w:sz w:val="24"/>
          <w:szCs w:val="24"/>
          <w:vertAlign w:val="superscript"/>
        </w:rPr>
        <w:t>3</w:t>
      </w:r>
      <w:bookmarkStart w:id="0" w:name="_Hlk187429427"/>
      <w:r w:rsidRPr="00143167">
        <w:rPr>
          <w:i/>
          <w:iCs/>
          <w:sz w:val="24"/>
          <w:szCs w:val="24"/>
        </w:rPr>
        <w:t>Национальный исследовательский университет «Высшая школа экономики»,</w:t>
      </w:r>
      <w:bookmarkEnd w:id="0"/>
      <w:r w:rsidRPr="00143167">
        <w:rPr>
          <w:bCs/>
          <w:i/>
          <w:iCs/>
          <w:sz w:val="24"/>
          <w:szCs w:val="24"/>
        </w:rPr>
        <w:t xml:space="preserve"> Москва</w:t>
      </w:r>
      <w:r w:rsidRPr="00143167">
        <w:rPr>
          <w:b/>
          <w:bCs/>
          <w:i/>
          <w:iCs/>
          <w:sz w:val="24"/>
          <w:szCs w:val="24"/>
        </w:rPr>
        <w:t xml:space="preserve">, </w:t>
      </w:r>
      <w:r w:rsidRPr="00143167">
        <w:rPr>
          <w:bCs/>
          <w:i/>
          <w:iCs/>
          <w:sz w:val="24"/>
          <w:szCs w:val="24"/>
        </w:rPr>
        <w:t>Россия</w:t>
      </w:r>
    </w:p>
    <w:p w14:paraId="00000008" w14:textId="292B4592" w:rsidR="00130241" w:rsidRPr="0014316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u w:val="single"/>
          <w:lang w:val="en-US"/>
        </w:rPr>
      </w:pPr>
      <w:r w:rsidRPr="00143167">
        <w:rPr>
          <w:i/>
          <w:color w:val="000000"/>
          <w:lang w:val="en-US"/>
        </w:rPr>
        <w:t>E</w:t>
      </w:r>
      <w:r w:rsidR="003B76D6" w:rsidRPr="00143167">
        <w:rPr>
          <w:i/>
          <w:color w:val="000000"/>
          <w:lang w:val="en-US"/>
        </w:rPr>
        <w:t>-</w:t>
      </w:r>
      <w:r w:rsidRPr="00143167">
        <w:rPr>
          <w:i/>
          <w:color w:val="000000"/>
          <w:lang w:val="en-US"/>
        </w:rPr>
        <w:t xml:space="preserve">mail: </w:t>
      </w:r>
      <w:hyperlink r:id="rId8" w:history="1">
        <w:r w:rsidR="00F167A9" w:rsidRPr="00143167">
          <w:rPr>
            <w:rStyle w:val="a9"/>
            <w:i/>
            <w:iCs/>
            <w:color w:val="auto"/>
            <w:lang w:val="en-US"/>
          </w:rPr>
          <w:t>vandyshev.gk@phystech.edu</w:t>
        </w:r>
      </w:hyperlink>
    </w:p>
    <w:p w14:paraId="1162F7C8" w14:textId="00CF4BC3" w:rsidR="00D77279" w:rsidRPr="00143167" w:rsidRDefault="00D77279" w:rsidP="00BE443A">
      <w:pPr>
        <w:ind w:firstLine="284"/>
        <w:jc w:val="both"/>
      </w:pPr>
      <w:r w:rsidRPr="00143167">
        <w:t xml:space="preserve">На границе двух веществ возникают поверхностные эффекты, влияющие на свойства обеих фаз. Важной характеристикой является формирование двойного электрического слоя (ДЭС). Простейшая система для изучения ДЭС — граница двух водных растворов электролитов с разной концентрацией. Модель </w:t>
      </w:r>
      <w:proofErr w:type="spellStart"/>
      <w:r w:rsidRPr="00143167">
        <w:t>Гуи</w:t>
      </w:r>
      <w:proofErr w:type="spellEnd"/>
      <w:r w:rsidRPr="00143167">
        <w:t>-Чапмена</w:t>
      </w:r>
      <w:r w:rsidR="000C43E7" w:rsidRPr="00143167">
        <w:t xml:space="preserve"> </w:t>
      </w:r>
      <w:r w:rsidRPr="00143167">
        <w:t>[1]</w:t>
      </w:r>
      <w:r w:rsidRPr="00143167">
        <w:t>, основанная на приближении идеального раствора, широко используется для описания электрокинетических свойств. Однако в области высоких концентраций электролитов поведение ионов становится сильно коррелированным, и модели, основанные на теории среднего поля, перестают работать. В настоящее время нет аналитических теорий, способных описать ДЭС в этом диапазоне концентраций.</w:t>
      </w:r>
    </w:p>
    <w:p w14:paraId="1C7C7537" w14:textId="7A4369EE" w:rsidR="00053FC7" w:rsidRPr="00143167" w:rsidRDefault="00053FC7" w:rsidP="000D7B5C">
      <w:pPr>
        <w:shd w:val="clear" w:color="auto" w:fill="FFFFFF"/>
        <w:ind w:firstLine="284"/>
        <w:rPr>
          <w:color w:val="000000"/>
        </w:rPr>
      </w:pPr>
      <w:r w:rsidRPr="00143167">
        <w:rPr>
          <w:color w:val="000000"/>
        </w:rPr>
        <w:t xml:space="preserve">Объектом исследования был двойной электрический слой (ДЭС) на границе водных растворов сильных электролитов с различной концентрацией ионов. В качестве электролитов исследовались растворы </w:t>
      </w:r>
      <w:proofErr w:type="spellStart"/>
      <w:r w:rsidRPr="00143167">
        <w:rPr>
          <w:color w:val="000000"/>
        </w:rPr>
        <w:t>NaBr</w:t>
      </w:r>
      <w:proofErr w:type="spellEnd"/>
      <w:r w:rsidRPr="00143167">
        <w:rPr>
          <w:color w:val="000000"/>
        </w:rPr>
        <w:t xml:space="preserve"> и </w:t>
      </w:r>
      <w:proofErr w:type="spellStart"/>
      <w:r w:rsidRPr="00143167">
        <w:rPr>
          <w:color w:val="000000"/>
        </w:rPr>
        <w:t>LiCl</w:t>
      </w:r>
      <w:proofErr w:type="spellEnd"/>
      <w:r w:rsidRPr="00143167">
        <w:rPr>
          <w:color w:val="000000"/>
        </w:rPr>
        <w:t>.</w:t>
      </w:r>
      <w:r w:rsidRPr="00143167">
        <w:rPr>
          <w:color w:val="000000"/>
        </w:rPr>
        <w:t xml:space="preserve"> Особое внимание уделялось ионам Li⁺, играющим ключевую роль в Li-ионных аккумуляторах</w:t>
      </w:r>
      <w:r w:rsidRPr="00143167">
        <w:rPr>
          <w:color w:val="000000"/>
        </w:rPr>
        <w:t xml:space="preserve"> [2]</w:t>
      </w:r>
      <w:r w:rsidRPr="00143167">
        <w:rPr>
          <w:color w:val="000000"/>
        </w:rPr>
        <w:t xml:space="preserve">. Граница моделировалась виртуальной селективной стенкой, непроницаемой для ионов щелочных металлов, с использованием потенциала </w:t>
      </w:r>
      <w:proofErr w:type="spellStart"/>
      <w:r w:rsidRPr="00143167">
        <w:rPr>
          <w:color w:val="000000"/>
        </w:rPr>
        <w:t>Леннарда</w:t>
      </w:r>
      <w:proofErr w:type="spellEnd"/>
      <w:r w:rsidRPr="00143167">
        <w:rPr>
          <w:color w:val="000000"/>
        </w:rPr>
        <w:t>-Джонса. Моделирование включало ~22000 молекул воды и проводилось в программе LAMMPS.</w:t>
      </w:r>
    </w:p>
    <w:p w14:paraId="4640B192" w14:textId="16318D55" w:rsidR="000D7B5C" w:rsidRPr="000D7B5C" w:rsidRDefault="000D7B5C" w:rsidP="000D7B5C">
      <w:pPr>
        <w:shd w:val="clear" w:color="auto" w:fill="FFFFFF"/>
        <w:ind w:firstLine="284"/>
        <w:rPr>
          <w:color w:val="000000"/>
        </w:rPr>
      </w:pPr>
      <w:r w:rsidRPr="000D7B5C">
        <w:rPr>
          <w:color w:val="000000"/>
        </w:rPr>
        <w:t xml:space="preserve">В </w:t>
      </w:r>
      <w:r w:rsidR="00372C6A">
        <w:rPr>
          <w:color w:val="000000"/>
        </w:rPr>
        <w:t xml:space="preserve">ходе работы </w:t>
      </w:r>
      <w:r w:rsidRPr="000D7B5C">
        <w:rPr>
          <w:color w:val="000000"/>
        </w:rPr>
        <w:t>была разработана программа для расчета электростатического потенциала на основе молекулярно-динамических траекторий. С использованием метода молекулярной динамики были получены равновесные профили концентрации для растворов электролитов. Профили электростатического потенциала строились путем решения уравнения Пуассона. В области высоких концентраций электролитов была выявлена экспоненциальная (</w:t>
      </w:r>
      <w:proofErr w:type="spellStart"/>
      <w:r w:rsidRPr="000D7B5C">
        <w:rPr>
          <w:color w:val="000000"/>
        </w:rPr>
        <w:t>Дебаевская</w:t>
      </w:r>
      <w:proofErr w:type="spellEnd"/>
      <w:r w:rsidRPr="000D7B5C">
        <w:rPr>
          <w:color w:val="000000"/>
        </w:rPr>
        <w:t>) асимптотика электростатического потенциала.</w:t>
      </w:r>
    </w:p>
    <w:p w14:paraId="17844410" w14:textId="44931AB0" w:rsidR="000D7B5C" w:rsidRPr="000D7B5C" w:rsidRDefault="000D7B5C" w:rsidP="002B1388">
      <w:pPr>
        <w:shd w:val="clear" w:color="auto" w:fill="FFFFFF"/>
        <w:ind w:firstLine="284"/>
        <w:rPr>
          <w:color w:val="000000"/>
        </w:rPr>
      </w:pPr>
      <w:r w:rsidRPr="000D7B5C">
        <w:rPr>
          <w:color w:val="000000"/>
        </w:rPr>
        <w:t>Результаты моделирования были сопоставлены с данными электрокапиллярных экспериментов</w:t>
      </w:r>
      <w:r w:rsidR="002B1388" w:rsidRPr="00143167">
        <w:rPr>
          <w:color w:val="000000"/>
        </w:rPr>
        <w:t xml:space="preserve"> [3]</w:t>
      </w:r>
      <w:r w:rsidRPr="000D7B5C">
        <w:rPr>
          <w:color w:val="000000"/>
        </w:rPr>
        <w:t>. Для каждого электролита приблизительно определены критические значения концентрации (</w:t>
      </w:r>
      <m:oMath>
        <m:r>
          <w:rPr>
            <w:rFonts w:ascii="Cambria Math" w:hAnsi="Cambria Math"/>
            <w:color w:val="000000"/>
          </w:rPr>
          <m:t>n</m:t>
        </m:r>
      </m:oMath>
      <w:r w:rsidRPr="000D7B5C">
        <w:rPr>
          <w:color w:val="000000"/>
        </w:rPr>
        <w:t>) и числа частиц в сфере Дебая 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D</m:t>
            </m:r>
          </m:sub>
        </m:sSub>
      </m:oMath>
      <w:r w:rsidRPr="000D7B5C">
        <w:rPr>
          <w:color w:val="000000"/>
        </w:rPr>
        <w:t>), при которых модель идеального раствора перестает быть применимой. Показано, что при высоких концентрациях наблюдается отклонение в сторону более сильного экранирования электрода как в молекулярно-динамических расчетах, так и в экспериментальных данных, по сравнению с моделью совершенного раствора.</w:t>
      </w:r>
      <w:r w:rsidR="008E12F7" w:rsidRPr="00143167">
        <w:rPr>
          <w:color w:val="000000"/>
        </w:rPr>
        <w:t xml:space="preserve"> </w:t>
      </w:r>
      <w:r w:rsidRPr="000D7B5C">
        <w:rPr>
          <w:color w:val="000000"/>
        </w:rPr>
        <w:t xml:space="preserve">Для растворов </w:t>
      </w:r>
      <w:proofErr w:type="spellStart"/>
      <w:r w:rsidRPr="000D7B5C">
        <w:rPr>
          <w:color w:val="000000"/>
        </w:rPr>
        <w:t>моновалентных</w:t>
      </w:r>
      <w:proofErr w:type="spellEnd"/>
      <w:r w:rsidRPr="000D7B5C">
        <w:rPr>
          <w:color w:val="000000"/>
        </w:rPr>
        <w:t xml:space="preserve"> сильных электролитов подтверждена гипотеза, согласно которой отклонение может быть связано с усилением взаимодействия между свободными ионами из-за перекрывания их гидратационных оболочек.</w:t>
      </w:r>
    </w:p>
    <w:p w14:paraId="6F8BEFA1" w14:textId="77777777" w:rsidR="00F167A9" w:rsidRPr="00143167" w:rsidRDefault="00F167A9" w:rsidP="00F167A9">
      <w:pPr>
        <w:shd w:val="clear" w:color="auto" w:fill="FFFFFF"/>
        <w:ind w:firstLine="284"/>
        <w:rPr>
          <w:color w:val="000000"/>
        </w:rPr>
      </w:pPr>
      <w:r w:rsidRPr="00143167">
        <w:rPr>
          <w:color w:val="000000"/>
        </w:rPr>
        <w:t xml:space="preserve">Расчеты проводились на кластерах МФТИ и </w:t>
      </w:r>
      <w:r w:rsidRPr="00143167">
        <w:rPr>
          <w:color w:val="1A1A1A"/>
        </w:rPr>
        <w:t>лаборатории</w:t>
      </w:r>
      <w:r w:rsidRPr="00143167">
        <w:rPr>
          <w:color w:val="000000"/>
        </w:rPr>
        <w:t xml:space="preserve"> многомасштабного моделирования в физике мягкой материи.</w:t>
      </w:r>
    </w:p>
    <w:p w14:paraId="0000000E" w14:textId="64E9E15A" w:rsidR="00130241" w:rsidRPr="0014316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43167">
        <w:rPr>
          <w:b/>
          <w:color w:val="000000"/>
        </w:rPr>
        <w:t>Литература</w:t>
      </w:r>
    </w:p>
    <w:p w14:paraId="6CDC1503" w14:textId="77777777" w:rsidR="00F701F7" w:rsidRPr="00143167" w:rsidRDefault="00F701F7" w:rsidP="00F701F7">
      <w:pPr>
        <w:numPr>
          <w:ilvl w:val="0"/>
          <w:numId w:val="5"/>
        </w:numPr>
        <w:rPr>
          <w:iCs/>
          <w:lang w:val="en-US"/>
        </w:rPr>
      </w:pPr>
      <w:r w:rsidRPr="00143167">
        <w:rPr>
          <w:iCs/>
          <w:lang w:val="en-US"/>
        </w:rPr>
        <w:t>Chapman D.L. A contribution to the theory of electrocapillarity // The London, Edinburgh, and Dublin Philosophical Magazine and Journal of Science. 1913. Vol. 25. P. 475–481.</w:t>
      </w:r>
    </w:p>
    <w:p w14:paraId="521F0F1F" w14:textId="77777777" w:rsidR="00F701F7" w:rsidRPr="00143167" w:rsidRDefault="00F701F7" w:rsidP="00F701F7">
      <w:pPr>
        <w:numPr>
          <w:ilvl w:val="0"/>
          <w:numId w:val="5"/>
        </w:numPr>
        <w:rPr>
          <w:iCs/>
        </w:rPr>
      </w:pPr>
      <w:r w:rsidRPr="00143167">
        <w:rPr>
          <w:iCs/>
          <w:lang w:val="en-US"/>
        </w:rPr>
        <w:t>Gui L., Zhongwei Z., Ahmad G. Novel approaches for lithium extraction from salt-lake brines: A review // Hydrometallurgy. 2019. Vol. 187. P. 81–100.</w:t>
      </w:r>
    </w:p>
    <w:p w14:paraId="49842068" w14:textId="721E0357" w:rsidR="00F701F7" w:rsidRPr="00143167" w:rsidRDefault="00F701F7" w:rsidP="00740A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43167">
        <w:rPr>
          <w:iCs/>
          <w:lang w:val="en-US"/>
        </w:rPr>
        <w:t xml:space="preserve">Apparao B.V. Is there really any special influence of lithium ion on the specific adsorption of anions at the mercury—aq. Solution interface? // </w:t>
      </w:r>
      <w:proofErr w:type="spellStart"/>
      <w:r w:rsidRPr="00143167">
        <w:rPr>
          <w:iCs/>
          <w:lang w:val="en-US"/>
        </w:rPr>
        <w:t>Electrochimica</w:t>
      </w:r>
      <w:proofErr w:type="spellEnd"/>
      <w:r w:rsidRPr="00143167">
        <w:rPr>
          <w:iCs/>
          <w:lang w:val="en-US"/>
        </w:rPr>
        <w:t xml:space="preserve"> Acta. 1981. Vol. 26(5). P. 657–662.</w:t>
      </w:r>
    </w:p>
    <w:sectPr w:rsidR="00F701F7" w:rsidRPr="0014316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952E" w14:textId="77777777" w:rsidR="00F80962" w:rsidRDefault="00F80962" w:rsidP="002B1388">
      <w:r>
        <w:separator/>
      </w:r>
    </w:p>
  </w:endnote>
  <w:endnote w:type="continuationSeparator" w:id="0">
    <w:p w14:paraId="3E09BBD8" w14:textId="77777777" w:rsidR="00F80962" w:rsidRDefault="00F80962" w:rsidP="002B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3CF16" w14:textId="77777777" w:rsidR="00F80962" w:rsidRDefault="00F80962" w:rsidP="002B1388">
      <w:r>
        <w:separator/>
      </w:r>
    </w:p>
  </w:footnote>
  <w:footnote w:type="continuationSeparator" w:id="0">
    <w:p w14:paraId="2A7D1036" w14:textId="77777777" w:rsidR="00F80962" w:rsidRDefault="00F80962" w:rsidP="002B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5D37"/>
    <w:multiLevelType w:val="multilevel"/>
    <w:tmpl w:val="9B0E0F5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2"/>
  </w:num>
  <w:num w:numId="4" w16cid:durableId="1050033331">
    <w:abstractNumId w:val="0"/>
  </w:num>
  <w:num w:numId="5" w16cid:durableId="1419670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3FC7"/>
    <w:rsid w:val="00063966"/>
    <w:rsid w:val="00075D6E"/>
    <w:rsid w:val="00086081"/>
    <w:rsid w:val="0009449A"/>
    <w:rsid w:val="00094FD0"/>
    <w:rsid w:val="000C43E7"/>
    <w:rsid w:val="000D7B5C"/>
    <w:rsid w:val="000E334E"/>
    <w:rsid w:val="00101A1C"/>
    <w:rsid w:val="00103657"/>
    <w:rsid w:val="00106375"/>
    <w:rsid w:val="00107AA3"/>
    <w:rsid w:val="00116478"/>
    <w:rsid w:val="00130241"/>
    <w:rsid w:val="00143167"/>
    <w:rsid w:val="001E61C2"/>
    <w:rsid w:val="001F0493"/>
    <w:rsid w:val="0022260A"/>
    <w:rsid w:val="002264EE"/>
    <w:rsid w:val="0023307C"/>
    <w:rsid w:val="002B1388"/>
    <w:rsid w:val="0031361E"/>
    <w:rsid w:val="0034779A"/>
    <w:rsid w:val="00372C6A"/>
    <w:rsid w:val="00391C38"/>
    <w:rsid w:val="003B76D6"/>
    <w:rsid w:val="003E2601"/>
    <w:rsid w:val="003F4E6B"/>
    <w:rsid w:val="0043180B"/>
    <w:rsid w:val="00486DBB"/>
    <w:rsid w:val="004A26A3"/>
    <w:rsid w:val="004F0EDF"/>
    <w:rsid w:val="00522BF1"/>
    <w:rsid w:val="005724E0"/>
    <w:rsid w:val="00590166"/>
    <w:rsid w:val="005D022B"/>
    <w:rsid w:val="005E5BE9"/>
    <w:rsid w:val="00642FD5"/>
    <w:rsid w:val="0069427D"/>
    <w:rsid w:val="006F7A19"/>
    <w:rsid w:val="007213E1"/>
    <w:rsid w:val="00775389"/>
    <w:rsid w:val="00783EDA"/>
    <w:rsid w:val="00797838"/>
    <w:rsid w:val="007C36D8"/>
    <w:rsid w:val="007F2744"/>
    <w:rsid w:val="008931BE"/>
    <w:rsid w:val="008C67E3"/>
    <w:rsid w:val="008E12F7"/>
    <w:rsid w:val="00914205"/>
    <w:rsid w:val="00921D45"/>
    <w:rsid w:val="009426C0"/>
    <w:rsid w:val="00974E38"/>
    <w:rsid w:val="00980A65"/>
    <w:rsid w:val="009A66DB"/>
    <w:rsid w:val="009B2F80"/>
    <w:rsid w:val="009B3300"/>
    <w:rsid w:val="009F3380"/>
    <w:rsid w:val="00A02163"/>
    <w:rsid w:val="00A314FE"/>
    <w:rsid w:val="00AA1469"/>
    <w:rsid w:val="00AD7380"/>
    <w:rsid w:val="00B064C7"/>
    <w:rsid w:val="00BE443A"/>
    <w:rsid w:val="00BF36F8"/>
    <w:rsid w:val="00BF4622"/>
    <w:rsid w:val="00C844E2"/>
    <w:rsid w:val="00CD00B1"/>
    <w:rsid w:val="00D22306"/>
    <w:rsid w:val="00D42542"/>
    <w:rsid w:val="00D77279"/>
    <w:rsid w:val="00D8121C"/>
    <w:rsid w:val="00E22189"/>
    <w:rsid w:val="00E74069"/>
    <w:rsid w:val="00E81D35"/>
    <w:rsid w:val="00EB1F49"/>
    <w:rsid w:val="00EF430B"/>
    <w:rsid w:val="00F167A9"/>
    <w:rsid w:val="00F701F7"/>
    <w:rsid w:val="00F80962"/>
    <w:rsid w:val="00F865B3"/>
    <w:rsid w:val="00FB1509"/>
    <w:rsid w:val="00FC257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индекс"/>
    <w:uiPriority w:val="8"/>
    <w:qFormat/>
    <w:rsid w:val="00F701F7"/>
    <w:rPr>
      <w:caps w:val="0"/>
      <w:smallCaps w:val="0"/>
      <w:strike w:val="0"/>
      <w:dstrike w:val="0"/>
      <w:vanish w:val="0"/>
      <w:color w:val="000000"/>
      <w:vertAlign w:val="superscript"/>
    </w:rPr>
  </w:style>
  <w:style w:type="paragraph" w:customStyle="1" w:styleId="ad">
    <w:name w:val="Авторы_стс"/>
    <w:basedOn w:val="a"/>
    <w:uiPriority w:val="2"/>
    <w:qFormat/>
    <w:rsid w:val="00F701F7"/>
    <w:pPr>
      <w:jc w:val="center"/>
    </w:pPr>
    <w:rPr>
      <w:b/>
      <w:sz w:val="20"/>
      <w:szCs w:val="20"/>
    </w:rPr>
  </w:style>
  <w:style w:type="paragraph" w:customStyle="1" w:styleId="34">
    <w:name w:val="Организации_стс34"/>
    <w:basedOn w:val="a"/>
    <w:rsid w:val="00F701F7"/>
    <w:pPr>
      <w:spacing w:before="120" w:after="240"/>
      <w:jc w:val="center"/>
    </w:pPr>
    <w:rPr>
      <w:sz w:val="20"/>
      <w:szCs w:val="20"/>
    </w:rPr>
  </w:style>
  <w:style w:type="paragraph" w:styleId="ae">
    <w:name w:val="footer"/>
    <w:basedOn w:val="a"/>
    <w:link w:val="af"/>
    <w:uiPriority w:val="99"/>
    <w:rsid w:val="00F167A9"/>
    <w:pPr>
      <w:tabs>
        <w:tab w:val="center" w:pos="4677"/>
        <w:tab w:val="right" w:pos="9355"/>
      </w:tabs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F167A9"/>
    <w:rPr>
      <w:rFonts w:ascii="Times New Roman" w:eastAsia="Times New Roman" w:hAnsi="Times New Roman" w:cs="Times New Roman"/>
      <w:szCs w:val="24"/>
    </w:rPr>
  </w:style>
  <w:style w:type="table" w:styleId="af0">
    <w:name w:val="Table Grid"/>
    <w:basedOn w:val="a1"/>
    <w:uiPriority w:val="39"/>
    <w:rsid w:val="000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2B13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B13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yshev.gk@physte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Georgii Vandyshev</cp:lastModifiedBy>
  <cp:revision>18</cp:revision>
  <dcterms:created xsi:type="dcterms:W3CDTF">2024-12-16T00:35:00Z</dcterms:created>
  <dcterms:modified xsi:type="dcterms:W3CDTF">2025-03-09T18:55:00Z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