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ED" w:rsidRDefault="00FF13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Тимьян обыкновенный </w:t>
      </w:r>
      <w:r w:rsidRPr="00FF13ED">
        <w:rPr>
          <w:rFonts w:ascii="Times New Roman" w:eastAsia="Times New Roman" w:hAnsi="Times New Roman" w:cs="Times New Roman"/>
          <w:b/>
          <w:color w:val="000000"/>
          <w:sz w:val="24"/>
        </w:rPr>
        <w:t>(</w:t>
      </w:r>
      <w:r w:rsidRPr="00FF13ED">
        <w:rPr>
          <w:rFonts w:ascii="Times New Roman" w:eastAsia="Times New Roman" w:hAnsi="Times New Roman" w:cs="Times New Roman"/>
          <w:b/>
          <w:i/>
          <w:color w:val="000000"/>
          <w:sz w:val="24"/>
        </w:rPr>
        <w:t>Thymus vulgaris</w:t>
      </w:r>
      <w:r w:rsidRPr="00FF13E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L.)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: ризосферный эффект и влияние на биологическую азотфиксацию</w:t>
      </w:r>
    </w:p>
    <w:p w:rsidR="00D34092" w:rsidRDefault="00E837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Жаркова Е.К.</w:t>
      </w:r>
    </w:p>
    <w:p w:rsidR="00D34092" w:rsidRDefault="00E837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Инженер </w:t>
      </w:r>
    </w:p>
    <w:p w:rsidR="00E837CC" w:rsidRPr="00E837CC" w:rsidRDefault="00E837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E837CC">
        <w:rPr>
          <w:rFonts w:ascii="Times New Roman" w:eastAsia="Times New Roman" w:hAnsi="Times New Roman" w:cs="Times New Roman"/>
          <w:i/>
          <w:color w:val="000000"/>
          <w:sz w:val="24"/>
        </w:rPr>
        <w:t>Федеральный исследовательский центр «Фундаментальные основы биотехнологии» РАН</w:t>
      </w:r>
    </w:p>
    <w:p w:rsidR="00D34092" w:rsidRDefault="00DF42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 w:rsidRPr="00E837CC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E</w:t>
      </w:r>
      <w:r w:rsidRPr="00E837CC">
        <w:rPr>
          <w:rFonts w:ascii="Times New Roman" w:eastAsia="Times New Roman" w:hAnsi="Times New Roman" w:cs="Times New Roman"/>
          <w:i/>
          <w:color w:val="000000"/>
          <w:sz w:val="24"/>
        </w:rPr>
        <w:t>-</w:t>
      </w:r>
      <w:r w:rsidRPr="00E837CC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mail</w:t>
      </w:r>
      <w:r w:rsidRPr="00E837CC">
        <w:rPr>
          <w:rFonts w:ascii="Times New Roman" w:eastAsia="Times New Roman" w:hAnsi="Times New Roman" w:cs="Times New Roman"/>
          <w:i/>
          <w:color w:val="000000"/>
          <w:sz w:val="24"/>
        </w:rPr>
        <w:t>:</w:t>
      </w:r>
      <w:r w:rsidR="00E837CC" w:rsidRPr="00E837CC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="00E837CC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e</w:t>
      </w:r>
      <w:r w:rsidR="00E837CC" w:rsidRPr="00E837CC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  <w:r w:rsidR="00E837CC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zharkova</w:t>
      </w:r>
      <w:r w:rsidR="00E837CC" w:rsidRPr="00E837CC">
        <w:rPr>
          <w:rFonts w:ascii="Times New Roman" w:eastAsia="Times New Roman" w:hAnsi="Times New Roman" w:cs="Times New Roman"/>
          <w:i/>
          <w:color w:val="000000"/>
          <w:sz w:val="24"/>
        </w:rPr>
        <w:t>@</w:t>
      </w:r>
      <w:r w:rsidR="00E837CC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fbras</w:t>
      </w:r>
      <w:r w:rsidR="00E837CC" w:rsidRPr="00E837CC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  <w:r w:rsidR="00E837CC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ru</w:t>
      </w:r>
      <w:r w:rsidRPr="00E837CC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="00E837CC" w:rsidRPr="00E837CC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:rsidR="00FF13ED" w:rsidRPr="00FF13ED" w:rsidRDefault="00FF13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F13ED">
        <w:rPr>
          <w:rFonts w:ascii="Times New Roman" w:eastAsia="Times New Roman" w:hAnsi="Times New Roman" w:cs="Times New Roman"/>
          <w:color w:val="000000"/>
          <w:sz w:val="24"/>
        </w:rPr>
        <w:t>Известно, что все живые организмы нуждаются в азоте (N) для синтеза белков и нуклеиновых кислот, при этом атмосферный азот (N2), составляющий около 78 % от газового состава атмосферы, становится доступным для включения в метаболизм большинства существ главным образом благодаря деятельности прокариотических организмов – бактерий и архей. Ризосфера считается наиболее благоприятной средой для биологической азотфиксации благодаря обилию корневых экссудатов и активному выносу азота растением-хозяином.</w:t>
      </w:r>
    </w:p>
    <w:p w:rsidR="00FF13ED" w:rsidRPr="00FF13ED" w:rsidRDefault="00FF13ED" w:rsidP="00FF13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F13ED">
        <w:rPr>
          <w:rFonts w:ascii="Times New Roman" w:eastAsia="Times New Roman" w:hAnsi="Times New Roman" w:cs="Times New Roman"/>
          <w:color w:val="000000"/>
          <w:sz w:val="24"/>
        </w:rPr>
        <w:t>Для оценки биологической азотфиксации использовали ризосферу тимьяна обыкновенного (</w:t>
      </w:r>
      <w:r w:rsidRPr="00FF13ED">
        <w:rPr>
          <w:rFonts w:ascii="Times New Roman" w:eastAsia="Times New Roman" w:hAnsi="Times New Roman" w:cs="Times New Roman"/>
          <w:i/>
          <w:color w:val="000000"/>
          <w:sz w:val="24"/>
        </w:rPr>
        <w:t>Thymus vulgaris</w:t>
      </w:r>
      <w:r w:rsidRPr="00FF13ED">
        <w:rPr>
          <w:rFonts w:ascii="Times New Roman" w:eastAsia="Times New Roman" w:hAnsi="Times New Roman" w:cs="Times New Roman"/>
          <w:color w:val="000000"/>
          <w:sz w:val="24"/>
        </w:rPr>
        <w:t xml:space="preserve"> L.). Три семилетних растения выкапывали с почвенными монолитами и доставляли в лабораторию в течение получаса в охлаждаемом термобоксе с термоэлементами, после чего незамедлительно проводили отбор и молекулярно-генетический анализ образцов ризосферы</w:t>
      </w:r>
      <w:r w:rsidR="00105C29" w:rsidRPr="00105C29">
        <w:rPr>
          <w:rFonts w:ascii="Times New Roman" w:eastAsia="Times New Roman" w:hAnsi="Times New Roman" w:cs="Times New Roman"/>
          <w:color w:val="000000"/>
          <w:sz w:val="24"/>
        </w:rPr>
        <w:t xml:space="preserve"> [1, 2]</w:t>
      </w:r>
      <w:r w:rsidRPr="00FF13ED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FF13ED" w:rsidRPr="00FF13ED" w:rsidRDefault="00FF13ED" w:rsidP="00FF13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F13ED">
        <w:rPr>
          <w:rFonts w:ascii="Times New Roman" w:eastAsia="Times New Roman" w:hAnsi="Times New Roman" w:cs="Times New Roman"/>
          <w:color w:val="000000"/>
          <w:sz w:val="24"/>
        </w:rPr>
        <w:t>В результате оценки обилия прокариот и выявления их способности к биологической азотфиксации методом ПЦР-РВ установлено высокое содержание гена nifH в ризосфере тимьяна обыкновенного (</w:t>
      </w:r>
      <w:bookmarkStart w:id="0" w:name="_GoBack"/>
      <w:r w:rsidRPr="007D6D77">
        <w:rPr>
          <w:rFonts w:ascii="Times New Roman" w:eastAsia="Times New Roman" w:hAnsi="Times New Roman" w:cs="Times New Roman"/>
          <w:i/>
          <w:color w:val="000000"/>
          <w:sz w:val="24"/>
        </w:rPr>
        <w:t>T. vulgaris</w:t>
      </w:r>
      <w:r w:rsidRPr="00FF13ED">
        <w:rPr>
          <w:rFonts w:ascii="Times New Roman" w:eastAsia="Times New Roman" w:hAnsi="Times New Roman" w:cs="Times New Roman"/>
          <w:color w:val="000000"/>
          <w:sz w:val="24"/>
        </w:rPr>
        <w:t> </w:t>
      </w:r>
      <w:bookmarkEnd w:id="0"/>
      <w:r w:rsidRPr="00FF13ED">
        <w:rPr>
          <w:rFonts w:ascii="Times New Roman" w:eastAsia="Times New Roman" w:hAnsi="Times New Roman" w:cs="Times New Roman"/>
          <w:color w:val="000000"/>
          <w:sz w:val="24"/>
        </w:rPr>
        <w:t>L.), составляющее, в среднем, до половины (52,5%) от количества копий гена 16S rRNA, что может свидетельствовать о наибольшей благоприятности именно этой части фитосферы для протекания процесса биологической азотфиксации.</w:t>
      </w:r>
    </w:p>
    <w:p w:rsidR="00FF13ED" w:rsidRPr="00FF13ED" w:rsidRDefault="00FF13ED" w:rsidP="00FF13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F13ED">
        <w:rPr>
          <w:rFonts w:ascii="Times New Roman" w:eastAsia="Times New Roman" w:hAnsi="Times New Roman" w:cs="Times New Roman"/>
          <w:color w:val="000000"/>
          <w:sz w:val="24"/>
        </w:rPr>
        <w:t>Ризосферный эффект, определяемый как соотношение количества копий генов в ризосфере и контрольной почве, свободной от растений, составил 12,1 для суммарного содержания бактерий и архей, определяемого по количеству копий гена 16S rRNA, и 13,6 для гена nifH, обуславливающего способность прокариот к биологической азотфиксации. Полученные данные свидетельствуют о привлекательности ризосферы тимьяна обыкновенного (</w:t>
      </w:r>
      <w:r w:rsidRPr="007D6D77">
        <w:rPr>
          <w:rFonts w:ascii="Times New Roman" w:eastAsia="Times New Roman" w:hAnsi="Times New Roman" w:cs="Times New Roman"/>
          <w:i/>
          <w:color w:val="000000"/>
          <w:sz w:val="24"/>
        </w:rPr>
        <w:t>T. vulgaris</w:t>
      </w:r>
      <w:r w:rsidRPr="00FF13ED">
        <w:rPr>
          <w:rFonts w:ascii="Times New Roman" w:eastAsia="Times New Roman" w:hAnsi="Times New Roman" w:cs="Times New Roman"/>
          <w:color w:val="000000"/>
          <w:sz w:val="24"/>
        </w:rPr>
        <w:t> L.) в качестве экологической ниши для протекания биологической азотфиксации, осуществляемой бактериями и археями. Эта особенность может быть использована для увеличения адаптационного потенциала и продуктивности такого ценного лекарственного растения, как тимьян обыкновенный.</w:t>
      </w:r>
    </w:p>
    <w:p w:rsidR="00D34092" w:rsidRPr="00FF13ED" w:rsidRDefault="00DF42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Литература</w:t>
      </w:r>
    </w:p>
    <w:p w:rsidR="00105C29" w:rsidRPr="00105C29" w:rsidRDefault="00DF4239" w:rsidP="00105C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E837C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1. </w:t>
      </w:r>
      <w:r w:rsidR="00105C29" w:rsidRPr="00105C29">
        <w:rPr>
          <w:rFonts w:ascii="Times New Roman" w:eastAsia="Times New Roman" w:hAnsi="Times New Roman" w:cs="Times New Roman"/>
          <w:color w:val="000000"/>
          <w:sz w:val="24"/>
          <w:lang w:val="en-US"/>
        </w:rPr>
        <w:t>Zhelezova A., Chernov T., Tkhakakhova A., Xenofontova N., Semenov M., Kutovaya O. Prokaryotic community shifts during soil formation on sands in the tundra zone. PLoS ONE. 2019;14:e0206777. doi: 10.1371/journal.pone.0206777. - </w:t>
      </w:r>
      <w:hyperlink r:id="rId7" w:history="1">
        <w:r w:rsidR="00105C29" w:rsidRPr="00105C29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DOI </w:t>
        </w:r>
      </w:hyperlink>
      <w:r w:rsidR="00105C29" w:rsidRPr="00105C29">
        <w:rPr>
          <w:rFonts w:ascii="Times New Roman" w:eastAsia="Times New Roman" w:hAnsi="Times New Roman" w:cs="Times New Roman"/>
          <w:color w:val="000000"/>
          <w:sz w:val="24"/>
          <w:lang w:val="en-US"/>
        </w:rPr>
        <w:t>- </w:t>
      </w:r>
      <w:hyperlink r:id="rId8" w:history="1">
        <w:r w:rsidR="00105C29" w:rsidRPr="00105C29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PMC </w:t>
        </w:r>
      </w:hyperlink>
      <w:r w:rsidR="00105C29" w:rsidRPr="00105C29">
        <w:rPr>
          <w:rFonts w:ascii="Times New Roman" w:eastAsia="Times New Roman" w:hAnsi="Times New Roman" w:cs="Times New Roman"/>
          <w:color w:val="000000"/>
          <w:sz w:val="24"/>
          <w:lang w:val="en-US"/>
        </w:rPr>
        <w:t>- </w:t>
      </w:r>
      <w:hyperlink r:id="rId9" w:history="1">
        <w:r w:rsidR="00105C29" w:rsidRPr="00105C29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PubMed</w:t>
        </w:r>
      </w:hyperlink>
    </w:p>
    <w:p w:rsidR="00FF13ED" w:rsidRPr="00105C29" w:rsidRDefault="00105C29" w:rsidP="00105C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lastRenderedPageBreak/>
        <w:t>2. Zharkova EK, Vankova AA</w:t>
      </w:r>
      <w:r w:rsidR="00FF13ED" w:rsidRPr="00105C29">
        <w:rPr>
          <w:rFonts w:ascii="Times New Roman" w:eastAsia="Times New Roman" w:hAnsi="Times New Roman" w:cs="Times New Roman"/>
          <w:color w:val="000000"/>
          <w:sz w:val="24"/>
          <w:lang w:val="en-US"/>
        </w:rPr>
        <w:t>. Bacterial Communities of Lamiacea L. Medicinal Plants: Structural Features and Rhizosphere Effect. Microorganisms. 2023 Jan 12;11(1):197. doi: 10.3390/microorganisms11010197. PMID: 36677489; PMCID: PMC9865931.</w:t>
      </w:r>
    </w:p>
    <w:sectPr w:rsidR="00FF13ED" w:rsidRPr="00105C2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239" w:rsidRDefault="00DF4239">
      <w:pPr>
        <w:spacing w:after="0" w:line="240" w:lineRule="auto"/>
      </w:pPr>
      <w:r>
        <w:separator/>
      </w:r>
    </w:p>
  </w:endnote>
  <w:endnote w:type="continuationSeparator" w:id="0">
    <w:p w:rsidR="00DF4239" w:rsidRDefault="00DF4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239" w:rsidRDefault="00DF4239">
      <w:pPr>
        <w:spacing w:after="0" w:line="240" w:lineRule="auto"/>
      </w:pPr>
      <w:r>
        <w:separator/>
      </w:r>
    </w:p>
  </w:footnote>
  <w:footnote w:type="continuationSeparator" w:id="0">
    <w:p w:rsidR="00DF4239" w:rsidRDefault="00DF4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C0547"/>
    <w:multiLevelType w:val="multilevel"/>
    <w:tmpl w:val="2F1E1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92"/>
    <w:rsid w:val="00105C29"/>
    <w:rsid w:val="007D6D77"/>
    <w:rsid w:val="00D34092"/>
    <w:rsid w:val="00DF4239"/>
    <w:rsid w:val="00E837CC"/>
    <w:rsid w:val="00FF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AD97"/>
  <w15:docId w15:val="{73EB2481-3948-4457-B1D9-8477DC8B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Strong"/>
    <w:basedOn w:val="a0"/>
    <w:uiPriority w:val="22"/>
    <w:qFormat/>
    <w:rsid w:val="00E837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mc.ncbi.nlm.nih.gov/articles/PMC64454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371/journal.pone.02067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0939175/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MALDI</cp:lastModifiedBy>
  <cp:revision>5</cp:revision>
  <dcterms:created xsi:type="dcterms:W3CDTF">2025-03-07T15:15:00Z</dcterms:created>
  <dcterms:modified xsi:type="dcterms:W3CDTF">2025-03-07T15:47:00Z</dcterms:modified>
</cp:coreProperties>
</file>