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spacing w:after="0" w:line="240" w:lineRule="auto"/>
        <w:ind w:firstLine="709"/>
        <w:jc w:val="center"/>
        <w:rPr>
          <w:b/>
          <w:lang w:val="ru-RU"/>
        </w:rPr>
      </w:pPr>
      <w:r>
        <w:rPr>
          <w:rFonts w:cs="Times New Roman"/>
          <w:b/>
          <w:bCs/>
          <w:color w:val="000000"/>
          <w:szCs w:val="24"/>
          <w:shd w:val="clear" w:color="auto" w:fill="ffffff"/>
          <w:lang w:val="ru-RU"/>
        </w:rPr>
        <w:t>Использование спутниковых данных для детализации структуры почвенного покрова в агроландшафтах Оренбургской области</w:t>
      </w:r>
      <w:r>
        <w:rPr>
          <w:rFonts w:cs="Times New Roman"/>
          <w:b/>
          <w:bCs/>
          <w:color w:val="000000"/>
          <w:szCs w:val="24"/>
          <w:shd w:val="clear" w:color="auto" w:fill="ffffff"/>
          <w:lang w:val="ru-RU"/>
        </w:rPr>
        <w:br w:type="textWrapping"/>
      </w:r>
    </w:p>
    <w:p w14:paraId="00000002">
      <w:pPr>
        <w:spacing w:line="240" w:lineRule="auto"/>
        <w:ind w:firstLine="709"/>
        <w:jc w:val="center"/>
        <w:rPr>
          <w:b/>
          <w:bCs/>
          <w:lang w:val="ru-RU"/>
        </w:rPr>
      </w:pPr>
      <w:r>
        <w:rPr>
          <w:rFonts w:cs="Times New Roman"/>
          <w:b/>
          <w:bCs/>
          <w:i/>
          <w:iCs/>
          <w:color w:val="000000"/>
          <w:szCs w:val="24"/>
          <w:shd w:val="clear" w:color="auto" w:fill="ffffff"/>
          <w:vertAlign w:val="superscript"/>
          <w:lang w:val="ru-RU"/>
        </w:rPr>
        <w:t>1</w:t>
      </w:r>
      <w:r>
        <w:rPr>
          <w:rFonts w:cs="Times New Roman"/>
          <w:b/>
          <w:bCs/>
          <w:i/>
          <w:iCs/>
          <w:color w:val="000000"/>
          <w:szCs w:val="24"/>
          <w:shd w:val="clear" w:color="auto" w:fill="ffffff"/>
          <w:lang w:val="ru-RU"/>
        </w:rPr>
        <w:t>Кузакова</w:t>
      </w:r>
      <w:r>
        <w:rPr>
          <w:rFonts w:cs="Times New Roman"/>
          <w:b/>
          <w:bCs/>
          <w:i/>
          <w:iCs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Fonts w:cs="Times New Roman"/>
          <w:b/>
          <w:bCs/>
          <w:i/>
          <w:iCs/>
          <w:color w:val="000000"/>
          <w:szCs w:val="24"/>
          <w:shd w:val="clear" w:color="auto" w:fill="ffffff"/>
          <w:lang w:val="ru-RU"/>
        </w:rPr>
        <w:t>М</w:t>
      </w:r>
      <w:r>
        <w:rPr>
          <w:rFonts w:cs="Times New Roman"/>
          <w:b/>
          <w:bCs/>
          <w:i/>
          <w:iCs/>
          <w:color w:val="000000"/>
          <w:szCs w:val="24"/>
          <w:shd w:val="clear" w:color="auto" w:fill="ffffff"/>
          <w:lang w:val="ru-RU"/>
        </w:rPr>
        <w:t>.</w:t>
      </w:r>
      <w:r>
        <w:rPr>
          <w:rFonts w:cs="Times New Roman"/>
          <w:b/>
          <w:bCs/>
          <w:i/>
          <w:iCs/>
          <w:color w:val="000000"/>
          <w:szCs w:val="24"/>
          <w:shd w:val="clear" w:color="auto" w:fill="ffffff"/>
          <w:lang w:val="ru-RU"/>
        </w:rPr>
        <w:t>А</w:t>
      </w:r>
      <w:r>
        <w:rPr>
          <w:rFonts w:cs="Times New Roman"/>
          <w:b/>
          <w:bCs/>
          <w:i/>
          <w:iCs/>
          <w:color w:val="000000"/>
          <w:szCs w:val="24"/>
          <w:shd w:val="clear" w:color="auto" w:fill="ffffff"/>
          <w:lang w:val="ru-RU"/>
        </w:rPr>
        <w:t xml:space="preserve">., </w:t>
      </w:r>
      <w:r>
        <w:rPr>
          <w:rFonts w:cs="Times New Roman"/>
          <w:b/>
          <w:bCs/>
          <w:i/>
          <w:iCs/>
          <w:color w:val="000000"/>
          <w:szCs w:val="24"/>
          <w:shd w:val="clear" w:color="auto" w:fill="ffffff"/>
          <w:vertAlign w:val="superscript"/>
          <w:lang w:val="ru-RU"/>
        </w:rPr>
        <w:t>2</w:t>
      </w:r>
      <w:r>
        <w:rPr>
          <w:rFonts w:cs="Times New Roman"/>
          <w:b/>
          <w:bCs/>
          <w:i/>
          <w:iCs/>
          <w:color w:val="000000"/>
          <w:szCs w:val="24"/>
          <w:shd w:val="clear" w:color="auto" w:fill="ffffff"/>
          <w:lang w:val="ru-RU"/>
        </w:rPr>
        <w:t xml:space="preserve">Аркатова М. А., </w:t>
      </w:r>
      <w:r>
        <w:rPr>
          <w:rFonts w:cs="Times New Roman"/>
          <w:b/>
          <w:bCs/>
          <w:i/>
          <w:iCs/>
          <w:color w:val="000000"/>
          <w:szCs w:val="24"/>
          <w:shd w:val="clear" w:color="auto" w:fill="ffffff"/>
          <w:vertAlign w:val="superscript"/>
          <w:lang w:val="ru-RU"/>
        </w:rPr>
        <w:t>3</w:t>
      </w:r>
      <w:r>
        <w:rPr>
          <w:rFonts w:cs="Times New Roman"/>
          <w:b/>
          <w:bCs/>
          <w:i/>
          <w:iCs/>
          <w:color w:val="000000"/>
          <w:szCs w:val="24"/>
          <w:shd w:val="clear" w:color="auto" w:fill="ffffff"/>
          <w:lang w:val="ru-RU"/>
        </w:rPr>
        <w:t>Карандеев И.С.</w:t>
      </w:r>
    </w:p>
    <w:p w14:paraId="00000003">
      <w:pPr>
        <w:spacing w:line="240" w:lineRule="auto"/>
        <w:ind w:firstLine="709"/>
        <w:jc w:val="center"/>
        <w:rPr>
          <w:lang w:val="ru-RU"/>
        </w:rPr>
      </w:pPr>
      <w:r>
        <w:rPr>
          <w:i/>
          <w:iCs/>
          <w:vertAlign w:val="superscript"/>
          <w:lang w:val="ru-RU"/>
        </w:rPr>
        <w:t>1</w:t>
      </w:r>
      <w:r>
        <w:rPr>
          <w:i/>
          <w:iCs/>
          <w:vertAlign w:val="superscript"/>
          <w:lang w:val="ru-RU"/>
        </w:rPr>
        <w:t>,</w:t>
      </w:r>
      <w:r>
        <w:rPr>
          <w:i/>
          <w:iCs/>
          <w:vertAlign w:val="superscript"/>
          <w:lang w:val="ru-RU"/>
        </w:rPr>
        <w:t>2</w:t>
      </w:r>
      <w:r>
        <w:rPr>
          <w:i/>
          <w:iCs/>
          <w:vertAlign w:val="superscript"/>
          <w:lang w:val="ru-RU"/>
        </w:rPr>
        <w:t>,</w:t>
      </w:r>
      <w:r>
        <w:rPr>
          <w:i/>
          <w:iCs/>
          <w:vertAlign w:val="superscript"/>
          <w:lang w:val="ru-RU"/>
        </w:rPr>
        <w:t>3</w:t>
      </w:r>
      <w:r>
        <w:rPr>
          <w:i/>
          <w:iCs/>
          <w:lang w:val="ru-RU"/>
        </w:rPr>
        <w:t>Студент 2-го курса</w:t>
      </w:r>
      <w:r>
        <w:rPr>
          <w:i/>
          <w:iCs/>
          <w:lang w:val="ru-RU"/>
        </w:rPr>
        <w:t xml:space="preserve"> кафедры почвоведения, геологии и ландшафтоведения </w:t>
      </w:r>
    </w:p>
    <w:p w14:paraId="00000004">
      <w:pPr>
        <w:spacing w:line="240" w:lineRule="auto"/>
        <w:ind w:firstLine="709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РГАУ</w:t>
      </w:r>
      <w:r>
        <w:rPr>
          <w:i/>
          <w:iCs/>
          <w:lang w:val="ru-RU"/>
        </w:rPr>
        <w:t>-</w:t>
      </w:r>
      <w:r>
        <w:rPr>
          <w:i/>
          <w:iCs/>
          <w:lang w:val="ru-RU"/>
        </w:rPr>
        <w:t>МСХА</w:t>
      </w:r>
      <w:r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имени</w:t>
      </w:r>
      <w:r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К</w:t>
      </w:r>
      <w:r>
        <w:rPr>
          <w:i/>
          <w:iCs/>
          <w:lang w:val="ru-RU"/>
        </w:rPr>
        <w:t>.</w:t>
      </w:r>
      <w:r>
        <w:rPr>
          <w:i/>
          <w:iCs/>
          <w:lang w:val="ru-RU"/>
        </w:rPr>
        <w:t>А</w:t>
      </w:r>
      <w:r>
        <w:rPr>
          <w:i/>
          <w:iCs/>
          <w:lang w:val="ru-RU"/>
        </w:rPr>
        <w:t xml:space="preserve">. </w:t>
      </w:r>
      <w:r>
        <w:rPr>
          <w:i/>
          <w:iCs/>
          <w:lang w:val="ru-RU"/>
        </w:rPr>
        <w:t>Тимирязева</w:t>
      </w:r>
      <w:r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Москва</w:t>
      </w:r>
      <w:r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Россия</w:t>
      </w:r>
    </w:p>
    <w:p w14:paraId="00000005">
      <w:pPr>
        <w:spacing w:line="240" w:lineRule="auto"/>
        <w:ind w:firstLine="709"/>
        <w:jc w:val="center"/>
        <w:rPr>
          <w:rFonts w:cs="Times New Roman"/>
          <w:color w:val="000000"/>
          <w:szCs w:val="24"/>
          <w:shd w:val="clear" w:color="auto" w:fill="ffffff"/>
          <w:lang w:val="ru-RU"/>
        </w:rPr>
      </w:pPr>
      <w:r>
        <w:rPr>
          <w:i/>
          <w:iCs/>
          <w:lang w:val="ru-RU"/>
        </w:rPr>
        <w:t>8</w:t>
      </w:r>
      <w:r>
        <w:rPr>
          <w:i/>
          <w:iCs/>
        </w:rPr>
        <w:t>akuzakovamira</w:t>
      </w:r>
      <w:r>
        <w:rPr>
          <w:i/>
          <w:iCs/>
          <w:lang w:val="ru-RU"/>
        </w:rPr>
        <w:t>@</w:t>
      </w:r>
      <w:r>
        <w:rPr>
          <w:i/>
          <w:iCs/>
        </w:rPr>
        <w:t>mail</w:t>
      </w:r>
      <w:r>
        <w:rPr>
          <w:i/>
          <w:iCs/>
          <w:lang w:val="ru-RU"/>
        </w:rPr>
        <w:t>.</w:t>
      </w:r>
      <w:r>
        <w:rPr>
          <w:i/>
          <w:iCs/>
        </w:rPr>
        <w:t>ru</w:t>
      </w:r>
      <w:r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arkatovamargoha1881@gmail.com, karandeev.i.s@yandex.ru</w:t>
      </w:r>
    </w:p>
    <w:p w14:paraId="00000006">
      <w:pPr>
        <w:spacing w:after="0" w:line="240" w:lineRule="auto"/>
        <w:ind w:firstLine="397"/>
        <w:jc w:val="both"/>
        <w:rPr>
          <w:rFonts w:cs="Times New Roman"/>
          <w:color w:val="000000"/>
          <w:szCs w:val="24"/>
          <w:shd w:val="clear" w:color="auto" w:fill="ffffff"/>
          <w:lang w:val="ru-RU"/>
        </w:rPr>
      </w:pPr>
      <w:r>
        <w:rPr>
          <w:rFonts w:cs="Times New Roman"/>
          <w:color w:val="000000"/>
          <w:szCs w:val="24"/>
          <w:shd w:val="clear" w:color="auto" w:fill="ffffff"/>
          <w:lang w:val="ru-RU"/>
        </w:rPr>
        <w:t xml:space="preserve">Веб платформа </w:t>
      </w:r>
      <w:r>
        <w:rPr>
          <w:rFonts w:cs="Times New Roman"/>
          <w:color w:val="000000"/>
          <w:szCs w:val="24"/>
          <w:shd w:val="clear" w:color="auto" w:fill="ffffff"/>
          <w:lang w:val="ru-RU"/>
        </w:rPr>
        <w:t xml:space="preserve">«Google </w:t>
      </w:r>
      <w:r>
        <w:rPr>
          <w:rFonts w:cs="Times New Roman"/>
          <w:color w:val="000000"/>
          <w:szCs w:val="24"/>
          <w:shd w:val="clear" w:color="auto" w:fill="ffffff"/>
        </w:rPr>
        <w:t>Earth</w:t>
      </w:r>
      <w:r>
        <w:rPr>
          <w:rFonts w:cs="Times New Roman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Engine</w:t>
      </w:r>
      <w:r>
        <w:rPr>
          <w:rFonts w:cs="Times New Roman"/>
          <w:color w:val="000000"/>
          <w:szCs w:val="24"/>
          <w:shd w:val="clear" w:color="auto" w:fill="ffffff"/>
          <w:lang w:val="ru-RU"/>
        </w:rPr>
        <w:t>» предоставляет доступ к набору баз данных дистанционного зондирования (ДДЗ)</w:t>
      </w:r>
      <w:r>
        <w:rPr>
          <w:rFonts w:cs="Times New Roman"/>
          <w:color w:val="000000"/>
          <w:szCs w:val="24"/>
          <w:shd w:val="clear" w:color="auto" w:fill="ffffff"/>
          <w:lang w:val="ru-RU"/>
        </w:rPr>
        <w:t xml:space="preserve">, сервис предоставляет возможности </w:t>
      </w:r>
      <w:r>
        <w:rPr>
          <w:rFonts w:cs="Times New Roman"/>
          <w:color w:val="000000"/>
          <w:szCs w:val="24"/>
          <w:shd w:val="clear" w:color="auto" w:fill="ffffff"/>
          <w:lang w:val="ru-RU"/>
        </w:rPr>
        <w:t>работ</w:t>
      </w:r>
      <w:r>
        <w:rPr>
          <w:rFonts w:cs="Times New Roman"/>
          <w:color w:val="000000"/>
          <w:szCs w:val="24"/>
          <w:shd w:val="clear" w:color="auto" w:fill="ffffff"/>
          <w:lang w:val="ru-RU"/>
        </w:rPr>
        <w:t>ы</w:t>
      </w:r>
      <w:r>
        <w:rPr>
          <w:rFonts w:cs="Times New Roman"/>
          <w:color w:val="000000"/>
          <w:szCs w:val="24"/>
          <w:shd w:val="clear" w:color="auto" w:fill="ffffff"/>
          <w:lang w:val="ru-RU"/>
        </w:rPr>
        <w:t xml:space="preserve"> с большими объемами </w:t>
      </w:r>
      <w:r>
        <w:rPr>
          <w:rFonts w:cs="Times New Roman"/>
          <w:color w:val="000000"/>
          <w:szCs w:val="24"/>
          <w:shd w:val="clear" w:color="auto" w:fill="ffffff"/>
          <w:lang w:val="ru-RU"/>
        </w:rPr>
        <w:t>данных (</w:t>
      </w:r>
      <w:r>
        <w:rPr>
          <w:rFonts w:cs="Times New Roman"/>
          <w:color w:val="000000"/>
          <w:szCs w:val="24"/>
          <w:shd w:val="clear" w:color="auto" w:fill="ffffff"/>
        </w:rPr>
        <w:t>Bi</w:t>
      </w:r>
      <w:r>
        <w:rPr>
          <w:rFonts w:cs="Times New Roman"/>
          <w:color w:val="000000"/>
          <w:szCs w:val="24"/>
          <w:shd w:val="clear" w:color="auto" w:fill="ffffff"/>
          <w:lang w:val="ru-RU"/>
        </w:rPr>
        <w:t xml:space="preserve">g </w:t>
      </w:r>
      <w:r>
        <w:rPr>
          <w:rFonts w:cs="Times New Roman"/>
          <w:color w:val="000000"/>
          <w:szCs w:val="24"/>
          <w:shd w:val="clear" w:color="auto" w:fill="ffffff"/>
        </w:rPr>
        <w:t>Data</w:t>
      </w:r>
      <w:r>
        <w:rPr>
          <w:rFonts w:cs="Times New Roman"/>
          <w:color w:val="000000"/>
          <w:szCs w:val="24"/>
          <w:shd w:val="clear" w:color="auto" w:fill="ffffff"/>
          <w:lang w:val="ru-RU"/>
        </w:rPr>
        <w:t xml:space="preserve">) </w:t>
      </w:r>
      <w:r>
        <w:rPr>
          <w:rFonts w:cs="Times New Roman"/>
          <w:color w:val="000000"/>
          <w:szCs w:val="24"/>
          <w:shd w:val="clear" w:color="auto" w:fill="ffffff"/>
          <w:lang w:val="ru-RU"/>
        </w:rPr>
        <w:t>вычислительн</w:t>
      </w:r>
      <w:r>
        <w:rPr>
          <w:rFonts w:cs="Times New Roman"/>
          <w:color w:val="000000"/>
          <w:szCs w:val="24"/>
          <w:shd w:val="clear" w:color="auto" w:fill="ffffff"/>
          <w:lang w:val="ru-RU"/>
        </w:rPr>
        <w:t>ые</w:t>
      </w:r>
      <w:r>
        <w:rPr>
          <w:rFonts w:cs="Times New Roman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  <w:lang w:val="ru-RU"/>
        </w:rPr>
        <w:t xml:space="preserve">мощности </w:t>
      </w:r>
      <w:r>
        <w:rPr>
          <w:rFonts w:cs="Times New Roman"/>
          <w:color w:val="000000"/>
          <w:szCs w:val="24"/>
          <w:shd w:val="clear" w:color="auto" w:fill="ffffff"/>
          <w:lang w:val="ru-RU"/>
        </w:rPr>
        <w:t>«</w:t>
      </w:r>
      <w:r>
        <w:rPr>
          <w:rFonts w:cs="Times New Roman"/>
          <w:color w:val="000000"/>
          <w:szCs w:val="24"/>
          <w:shd w:val="clear" w:color="auto" w:fill="ffffff"/>
        </w:rPr>
        <w:t>Google</w:t>
      </w:r>
      <w:r>
        <w:rPr>
          <w:rFonts w:cs="Times New Roman"/>
          <w:color w:val="000000"/>
          <w:szCs w:val="24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Cloud</w:t>
      </w:r>
      <w:r>
        <w:rPr>
          <w:rFonts w:cs="Times New Roman"/>
          <w:color w:val="000000"/>
          <w:szCs w:val="24"/>
          <w:shd w:val="clear" w:color="auto" w:fill="ffffff"/>
          <w:lang w:val="ru-RU"/>
        </w:rPr>
        <w:t xml:space="preserve">». </w:t>
      </w:r>
    </w:p>
    <w:p w14:paraId="00000007">
      <w:pPr>
        <w:spacing w:after="0" w:line="240" w:lineRule="auto"/>
        <w:ind w:firstLine="397"/>
        <w:jc w:val="both"/>
        <w:rPr>
          <w:rFonts w:cs="Times New Roman"/>
          <w:color w:val="000000"/>
          <w:szCs w:val="24"/>
          <w:shd w:val="clear" w:color="auto" w:fill="ffffff"/>
          <w:lang w:val="ru-RU"/>
        </w:rPr>
      </w:pPr>
      <w:r>
        <w:rPr>
          <w:rFonts w:cs="Times New Roman"/>
          <w:color w:val="000000"/>
          <w:szCs w:val="24"/>
          <w:shd w:val="clear" w:color="auto" w:fill="ffffff"/>
          <w:lang w:val="ru-RU"/>
        </w:rPr>
        <w:t>В рамках данной работы оценивалась возможность использования спутниковых данных для детализации структуры почвенного покрова в агроландшафтах Оренбургской области. Изучаемый метод имеет ряд преимуществ: он позволяет сократить затраты на сбор и анализ образцов почвы в полевых условиях, получить достаточно детальную для прикладных задач сельского хозяйства информацию о характеристиках почвы на большой площади. Также использование спутниковых данных позволяет проводить мониторинг почвенного покрова в динамике.</w:t>
      </w:r>
    </w:p>
    <w:p w14:paraId="00000008">
      <w:pPr>
        <w:spacing w:after="0" w:line="240" w:lineRule="auto"/>
        <w:ind w:firstLine="397"/>
        <w:jc w:val="both"/>
        <w:rPr>
          <w:rFonts w:cs="Times New Roman"/>
          <w:color w:val="000000"/>
          <w:szCs w:val="24"/>
          <w:shd w:val="clear" w:color="auto" w:fill="ffffff"/>
          <w:lang w:val="ru-RU"/>
        </w:rPr>
      </w:pPr>
      <w:r>
        <w:rPr>
          <w:rFonts w:cs="Times New Roman"/>
          <w:color w:val="000000"/>
          <w:szCs w:val="24"/>
          <w:shd w:val="clear" w:color="auto" w:fill="ffffff"/>
          <w:lang w:val="ru-RU"/>
        </w:rPr>
        <w:t xml:space="preserve">На рисунке 1 представлены изображения одного из исследуемых участков на территории Оренбургской области в естественных цветах с комбинациями каналов Red-Green-Blue с длинами волн 0,665 н.м.-0,560 н.м.-0,490 н.м. и Rad Edge Vegetation-Red  с длинами волн 0,783 н.м.-0,740 н.м.-0,665 н.м.  На данных растровых изображениях отчетливо видно границы литогенных агроэкологических групп в структуре почвенного покрова, а также достаточно детально выражены более смытые участки, приуроченные к склоновым землям, что подтверждают данные, полученные в ходе проведения почвенного обследования на вышепредставленной территории. </w:t>
      </w:r>
    </w:p>
    <w:p w14:paraId="00000009">
      <w:pPr>
        <w:spacing w:after="0" w:line="240" w:lineRule="auto"/>
        <w:ind w:firstLine="397"/>
        <w:jc w:val="both"/>
        <w:rPr>
          <w:rFonts w:cs="Times New Roman"/>
          <w:b/>
          <w:bCs/>
          <w:color w:val="000000"/>
          <w:szCs w:val="24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zCs w:val="24"/>
          <w:shd w:val="clear" w:color="auto" w:fill="ffffff"/>
          <w:lang w:val="ru-RU"/>
        </w:rPr>
        <w:drawing xmlns:mc="http://schemas.openxmlformats.org/markup-compatibility/2006">
          <wp:inline distT="0" distB="0" distL="0" distR="0">
            <wp:extent cx="5410199" cy="1653540"/>
            <wp:effectExtent l="0" t="0" r="0" b="0"/>
            <wp:docPr id="12029962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996244" name="Рисунок 1"/>
                    <pic:cNvPicPr/>
                  </pic:nvPicPr>
                  <pic:blipFill>
                    <a:blip r:embed="rId11"/>
                    <a:srcRect t="8626" b="6274"/>
                    <a:stretch/>
                  </pic:blipFill>
                  <pic:spPr>
                    <a:xfrm>
                      <a:off x="0" y="0"/>
                      <a:ext cx="5410199" cy="165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A">
      <w:pPr>
        <w:spacing w:after="0" w:line="240" w:lineRule="auto"/>
        <w:ind w:firstLine="397"/>
        <w:jc w:val="center"/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 xml:space="preserve">Рис. 1 – </w:t>
      </w:r>
      <w:r>
        <w:rPr>
          <w:rFonts w:cs="Times New Roman"/>
          <w:color w:val="000000"/>
          <w:sz w:val="20"/>
          <w:szCs w:val="20"/>
          <w:shd w:val="clear" w:color="auto" w:fill="ffffff"/>
          <w:lang w:val="ru-RU"/>
        </w:rPr>
        <w:t>Характеристика структуры неоднородности почв исследуемого участка</w:t>
      </w:r>
    </w:p>
    <w:p w14:paraId="0000000B">
      <w:pPr>
        <w:spacing w:after="0" w:line="240" w:lineRule="auto"/>
        <w:ind w:firstLine="397"/>
        <w:jc w:val="both"/>
        <w:rPr>
          <w:rFonts w:cs="Times New Roman"/>
          <w:b/>
          <w:bCs/>
          <w:color w:val="000000"/>
          <w:szCs w:val="24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zCs w:val="24"/>
          <w:shd w:val="clear" w:color="auto" w:fill="ffffff"/>
          <w:lang w:val="ru-RU"/>
        </w:rPr>
        <w:t>Литература</w:t>
      </w:r>
    </w:p>
    <w:p w14:paraId="0000000C">
      <w:pPr>
        <w:pStyle w:val="ListParagraph"/>
        <w:numPr>
          <w:ilvl w:val="0"/>
          <w:numId w:val="5"/>
        </w:numPr>
        <w:spacing w:line="240" w:lineRule="auto"/>
        <w:ind w:left="757" w:hanging="397"/>
        <w:jc w:val="both"/>
        <w:rPr>
          <w:szCs w:val="24"/>
          <w:lang w:val="ru-RU"/>
        </w:rPr>
      </w:pPr>
      <w:r>
        <w:rPr>
          <w:lang w:val="ru-RU"/>
        </w:rPr>
        <w:t xml:space="preserve">Прохоров А.А, Борисов Б.А., Ефимов О.Е. Индексная оценки степени выпаханности черноземов предкавказской провинции// Агрохимический вестник – 2023. – №5. – С.50-55. </w:t>
      </w:r>
      <w:r>
        <w:t>DOI</w:t>
      </w:r>
      <w:r>
        <w:rPr>
          <w:lang w:val="ru-RU"/>
        </w:rPr>
        <w:t xml:space="preserve">: 10.24412/1029-2551-2023-5-009 </w:t>
      </w:r>
      <w:r>
        <w:t>EDN</w:t>
      </w:r>
      <w:r>
        <w:rPr>
          <w:lang w:val="ru-RU"/>
        </w:rPr>
        <w:t xml:space="preserve">: </w:t>
      </w:r>
      <w:r>
        <w:t>OXSZRW</w:t>
      </w:r>
      <w:r>
        <w:rPr>
          <w:lang w:val="ru-RU"/>
        </w:rPr>
        <w:t xml:space="preserve"> </w:t>
      </w:r>
    </w:p>
    <w:p w14:paraId="0000000D">
      <w:pPr>
        <w:pStyle w:val="ListParagraph"/>
        <w:numPr>
          <w:ilvl w:val="0"/>
          <w:numId w:val="5"/>
        </w:numPr>
        <w:spacing w:line="240" w:lineRule="auto"/>
        <w:ind w:left="757" w:hanging="397"/>
        <w:jc w:val="both"/>
        <w:rPr/>
      </w:pPr>
      <w:r>
        <w:t xml:space="preserve">Noel Gorelick, Matt Hancher, Mike Dixon, Simon Ilyushchenko, David Thau, Rebecca Moore, Google Earth Engine: Planetary-scale geospatial analysis for everyone, Remote Sensing of Environment, Volume 202, 2017, Pages 18-27, ISSN 0034-4257, </w:t>
      </w:r>
      <w:r>
        <w:fldChar w:fldCharType="begin"/>
      </w:r>
      <w:r>
        <w:instrText xml:space="preserve">HYPERLINK "https://doi.org/10.1016/j.rse.2017.06.031" </w:instrText>
      </w:r>
      <w:r>
        <w:fldChar w:fldCharType="separate"/>
      </w:r>
      <w:r>
        <w:t>https://doi.org/10.1016/j.rse.2017.06.031</w:t>
      </w:r>
      <w:r>
        <w:fldChar w:fldCharType="end"/>
      </w:r>
      <w:r>
        <w:t>.</w:t>
      </w:r>
    </w:p>
    <w:p w14:paraId="0000000E">
      <w:pPr>
        <w:pStyle w:val="ListParagraph"/>
        <w:numPr>
          <w:ilvl w:val="0"/>
          <w:numId w:val="5"/>
        </w:numPr>
        <w:spacing w:line="240" w:lineRule="auto"/>
        <w:ind w:left="757" w:hanging="397"/>
        <w:jc w:val="both"/>
        <w:rPr/>
      </w:pPr>
      <w:r>
        <w:t>Verma, A., Pedrosa, L., Korupol</w:t>
      </w:r>
      <w:r>
        <w:t>u, M., Oppenheimer, D., Tune, E., Wilkes, J., 2015. Largescale cluster management at Google with Borg. Proc. EuroSys 10, 18. ACM.</w:t>
      </w:r>
    </w:p>
    <w:sectPr>
      <w:pgSz w:w="12240" w:h="15840"/>
      <w:pgMar w:top="1134" w:right="1361" w:bottom="1134" w:left="136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24"/>
    <w:rsid w:val="00062BE1"/>
    <w:rsid w:val="000C4790"/>
    <w:rsid w:val="0014589D"/>
    <w:rsid w:val="00174DF2"/>
    <w:rsid w:val="00192B5B"/>
    <w:rsid w:val="001B0F54"/>
    <w:rsid w:val="001D360B"/>
    <w:rsid w:val="00202083"/>
    <w:rsid w:val="002A2390"/>
    <w:rsid w:val="002B0B23"/>
    <w:rsid w:val="003F2CA6"/>
    <w:rsid w:val="00402C58"/>
    <w:rsid w:val="0041388B"/>
    <w:rsid w:val="00420F4E"/>
    <w:rsid w:val="00422640"/>
    <w:rsid w:val="004D0080"/>
    <w:rsid w:val="004D0D60"/>
    <w:rsid w:val="004E21B2"/>
    <w:rsid w:val="004E785F"/>
    <w:rsid w:val="004F38BF"/>
    <w:rsid w:val="005534D7"/>
    <w:rsid w:val="005741C0"/>
    <w:rsid w:val="005B0243"/>
    <w:rsid w:val="006D6661"/>
    <w:rsid w:val="00713166"/>
    <w:rsid w:val="00781DEF"/>
    <w:rsid w:val="00783906"/>
    <w:rsid w:val="007D4D2E"/>
    <w:rsid w:val="0080020E"/>
    <w:rsid w:val="00804395"/>
    <w:rsid w:val="008468E1"/>
    <w:rsid w:val="008C6FA2"/>
    <w:rsid w:val="0096417B"/>
    <w:rsid w:val="009C2B98"/>
    <w:rsid w:val="009E1801"/>
    <w:rsid w:val="009E6F21"/>
    <w:rsid w:val="00A325C7"/>
    <w:rsid w:val="00AA723D"/>
    <w:rsid w:val="00B02A70"/>
    <w:rsid w:val="00B128D3"/>
    <w:rsid w:val="00B45AF0"/>
    <w:rsid w:val="00B958B8"/>
    <w:rsid w:val="00BC5F1D"/>
    <w:rsid w:val="00BF5BD5"/>
    <w:rsid w:val="00C91205"/>
    <w:rsid w:val="00D01B61"/>
    <w:rsid w:val="00D02A26"/>
    <w:rsid w:val="00D05D2C"/>
    <w:rsid w:val="00D15B3C"/>
    <w:rsid w:val="00D35624"/>
    <w:rsid w:val="00D4697B"/>
    <w:rsid w:val="00D74AC3"/>
    <w:rsid w:val="00D955EB"/>
    <w:rsid w:val="00DD007A"/>
    <w:rsid w:val="00E27C0F"/>
    <w:rsid w:val="00F12C24"/>
    <w:rsid w:val="00F2193B"/>
    <w:rsid w:val="00F400C8"/>
    <w:rsid w:val="00F51FEB"/>
    <w:rsid w:val="00F61E65"/>
    <w:rsid w:val="00F63A0F"/>
    <w:rsid w:val="00F9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3CF5"/>
  <w15:chartTrackingRefBased/>
  <w15:docId w15:val="{082D4EF0-27A7-4453-899F-E1F7317E8A15}"/>
  <w:footnotePr/>
  <w:endnotePr/>
  <w:bordersDoNotSurroundHeader/>
  <w:bordersDoNotSurroundFoote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rPr>
      <w:rFonts w:ascii="Times New Roman" w:hAnsi="Times New Roman"/>
      <w:sz w:val="24"/>
    </w:rPr>
  </w:style>
  <w:style w:type="paragraph" w:styleId="Heading1">
    <w:name w:val="Heading 1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Заголовок1Знак">
    <w:name w:val="Заголовок 1 Знак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Заголовок2Знак">
    <w:name w:val="Заголовок 2 Знак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Заголовок3Знак">
    <w:name w:val="Заголовок 3 Знак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Заголовок4Знак">
    <w:name w:val="Заголовок 4 Знак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Заголовок5Знак">
    <w:name w:val="Заголовок 5 Знак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Заголовок6Знак">
    <w:name w:val="Заголовок 6 Знак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Заголовок7Знак">
    <w:name w:val="Заголовок 7 Знак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ЗаголовокЗнак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ВыделеннаяцитатаЗнак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FollowedHyperlink">
    <w:name w:val="FollowedHyperlink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link w:val="Header"/>
    <w:uiPriority w:val="99"/>
  </w:style>
  <w:style w:type="paragraph" w:styleId="Footer">
    <w:name w:val="Footer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link w:val="Footer"/>
    <w:uiPriority w:val="99"/>
  </w:style>
  <w:style w:type="paragraph" w:styleId="ListParagraph">
    <w:name w:val="List Paragraph"/>
    <w:basedOn w:val="Normal"/>
    <w:uiPriority w:val="99"/>
    <w:qFormat w:val="on"/>
    <w:pPr>
      <w:ind w:left="720"/>
      <w:contextualSpacing w:val="on"/>
    </w:pPr>
  </w:style>
  <w:style w:type="paragraph" w:styleId="Revision">
    <w:name w:val="Revision"/>
    <w:hidden w:val="on"/>
    <w:uiPriority w:val="99"/>
    <w:semiHidden w:val="on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cs="Times New Roman" w:hAnsi="Times New Roman"/>
      <w:color w:val="000000"/>
      <w:sz w:val="24"/>
      <w:szCs w:val="24"/>
      <w:lang w:val="ru-RU"/>
      <w14:ligatures w14:val="standardContextual"/>
    </w:rPr>
  </w:style>
  <w:style w:type="character" w:styleId="Hyperlink">
    <w:name w:val="Hyperlink"/>
    <w:basedOn w:val="DefaultParagraphFont"/>
    <w:uiPriority w:val="99"/>
    <w:unhideWhenUsed w:val="on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7" Type="http://schemas.openxmlformats.org/officeDocument/2006/relationships/hyperlink" Target="https://doi.org/10.1016/j.rse.2017.06.031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2FCB4-6331-49C2-88B2-7F477CBF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 Илья</dc:creator>
  <cp:lastModifiedBy>Кузакова Мира</cp:lastModifiedBy>
</cp:coreProperties>
</file>