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Оценка возможности использования спектрального анализа почв в судебной экспертизе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Седых 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Студенка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курса бакалавриата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факультет почвоведения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mail: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  <w:instrText xml:space="preserve"> HYPERLINK "mailto:olya.sedykh.05@bk.ru"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olya.sedykh.05@bk.ru</w:t>
      </w:r>
      <w:r>
        <w:rPr>
          <w:lang w:val="en-US"/>
        </w:rPr>
        <w:fldChar w:fldCharType="end" w:fldLock="0"/>
      </w:r>
    </w:p>
    <w:p>
      <w:pPr>
        <w:pStyle w:val="Normal.0"/>
        <w:spacing w:after="0" w:line="240" w:lineRule="auto"/>
        <w:ind w:firstLine="397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сегодняшний день прогресс почвоведческих исследований обеспечивает новые подходы к решению практических задач судебной экспертизы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[3].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Высокую эффективность показывают исследования наслоений почвенного вещества на разнообразных объектах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носителях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[1].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Одними из перспективных направлений исследований почвенных образцов являются спектроскопические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позволяют максимально точно оценить окраску почвенных образцов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выявить отли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чия вещественного состава образцов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их фракций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[2].</w:t>
      </w:r>
    </w:p>
    <w:p>
      <w:pPr>
        <w:pStyle w:val="Normal.0"/>
        <w:spacing w:after="0" w:line="240" w:lineRule="auto"/>
        <w:ind w:firstLine="397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работы заключалась в оценке возможности определения групповой принадлежности почвенных образцов с помощью спектрального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работы была собрана коллекция зональных почв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проведения эксперимента из них выбраны четыре пахотные и две гидроморфные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собраны образцы почвенных наслоений с подошв ботинок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Гиперспектральная съемка проводилась с помощью камеры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Specim (Specim, Spectral Imaging Ltd.,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Финляндия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Результаты представлены на рисунке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Квадратом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кругом и прямоугольником выделены диагностические участки спектров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g">
            <w:drawing xmlns:a="http://schemas.openxmlformats.org/drawingml/2006/main">
              <wp:inline distT="0" distB="0" distL="0" distR="0">
                <wp:extent cx="5828030" cy="2222303"/>
                <wp:effectExtent l="0" t="0" r="0" b="0"/>
                <wp:docPr id="1073741832" name="officeArt object" descr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030" cy="2222303"/>
                          <a:chOff x="0" y="0"/>
                          <a:chExt cx="5828029" cy="2222302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2" descr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5828031" cy="21833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TextBox 4"/>
                        <wps:cNvSpPr txBox="1"/>
                        <wps:spPr>
                          <a:xfrm>
                            <a:off x="1003837" y="994925"/>
                            <a:ext cx="94245" cy="134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</w:pPr>
                              <w:r>
                                <w:rPr>
                                  <w:rFonts w:ascii="Times New Roman" w:hAnsi="Times New Roman" w:hint="default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27" name="TextBox 5"/>
                        <wps:cNvSpPr txBox="1"/>
                        <wps:spPr>
                          <a:xfrm>
                            <a:off x="2914674" y="989072"/>
                            <a:ext cx="94244" cy="134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</w:pPr>
                              <w:r>
                                <w:rPr>
                                  <w:rFonts w:ascii="Times New Roman" w:hAnsi="Times New Roman" w:hint="default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28" name="TextBox 6"/>
                        <wps:cNvSpPr txBox="1"/>
                        <wps:spPr>
                          <a:xfrm>
                            <a:off x="4873281" y="989072"/>
                            <a:ext cx="94245" cy="134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</w:pPr>
                              <w:r>
                                <w:rPr>
                                  <w:rFonts w:ascii="Times New Roman" w:hAnsi="Times New Roman" w:hint="default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29" name="TextBox 7"/>
                        <wps:cNvSpPr txBox="1"/>
                        <wps:spPr>
                          <a:xfrm>
                            <a:off x="1003837" y="2087803"/>
                            <a:ext cx="94245" cy="134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</w:pPr>
                              <w:r>
                                <w:rPr>
                                  <w:rFonts w:ascii="Times New Roman" w:hAnsi="Times New Roman" w:hint="default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0" name="TextBox 8"/>
                        <wps:cNvSpPr txBox="1"/>
                        <wps:spPr>
                          <a:xfrm>
                            <a:off x="2962445" y="2087803"/>
                            <a:ext cx="94244" cy="134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</w:pPr>
                              <w:r>
                                <w:rPr>
                                  <w:rFonts w:ascii="Times New Roman" w:hAnsi="Times New Roman" w:hint="default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1" name="TextBox 9"/>
                        <wps:cNvSpPr txBox="1"/>
                        <wps:spPr>
                          <a:xfrm>
                            <a:off x="4873281" y="2087803"/>
                            <a:ext cx="94245" cy="134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</w:pPr>
                              <w:r>
                                <w:rPr>
                                  <w:rFonts w:ascii="Times New Roman" w:hAnsi="Times New Roman" w:hint="default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е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58.9pt;height:175.0pt;" coordorigin="0,0" coordsize="5828030,2222302">
                <v:shape id="_x0000_s1027" type="#_x0000_t75" style="position:absolute;left:0;top:0;width:5828030;height:2183345;">
                  <v:imagedata r:id="rId4" o:title="image1.png"/>
                </v:shape>
                <v:shape id="_x0000_s1028" type="#_x0000_t202" style="position:absolute;left:1003838;top:994925;width:94244;height:1344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</w:pPr>
                        <w:r>
                          <w:rPr>
                            <w:rFonts w:ascii="Times New Roman" w:hAnsi="Times New Roman" w:hint="default"/>
                            <w:sz w:val="24"/>
                            <w:szCs w:val="24"/>
                            <w:rtl w:val="0"/>
                            <w:lang w:val="ru-RU"/>
                          </w:rPr>
                          <w:t>а</w:t>
                        </w:r>
                      </w:p>
                    </w:txbxContent>
                  </v:textbox>
                </v:shape>
                <v:shape id="_x0000_s1029" type="#_x0000_t202" style="position:absolute;left:2914674;top:989072;width:94244;height:1344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</w:pPr>
                        <w:r>
                          <w:rPr>
                            <w:rFonts w:ascii="Times New Roman" w:hAnsi="Times New Roman" w:hint="default"/>
                            <w:sz w:val="24"/>
                            <w:szCs w:val="24"/>
                            <w:rtl w:val="0"/>
                            <w:lang w:val="ru-RU"/>
                          </w:rPr>
                          <w:t>б</w:t>
                        </w:r>
                      </w:p>
                    </w:txbxContent>
                  </v:textbox>
                </v:shape>
                <v:shape id="_x0000_s1030" type="#_x0000_t202" style="position:absolute;left:4873282;top:989072;width:94244;height:1344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</w:pPr>
                        <w:r>
                          <w:rPr>
                            <w:rFonts w:ascii="Times New Roman" w:hAnsi="Times New Roman" w:hint="default"/>
                            <w:sz w:val="24"/>
                            <w:szCs w:val="24"/>
                            <w:rtl w:val="0"/>
                            <w:lang w:val="ru-RU"/>
                          </w:rPr>
                          <w:t>в</w:t>
                        </w:r>
                      </w:p>
                    </w:txbxContent>
                  </v:textbox>
                </v:shape>
                <v:shape id="_x0000_s1031" type="#_x0000_t202" style="position:absolute;left:1003838;top:2087803;width:94244;height:1344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</w:pPr>
                        <w:r>
                          <w:rPr>
                            <w:rFonts w:ascii="Times New Roman" w:hAnsi="Times New Roman" w:hint="default"/>
                            <w:sz w:val="24"/>
                            <w:szCs w:val="24"/>
                            <w:rtl w:val="0"/>
                            <w:lang w:val="ru-RU"/>
                          </w:rPr>
                          <w:t>г</w:t>
                        </w:r>
                      </w:p>
                    </w:txbxContent>
                  </v:textbox>
                </v:shape>
                <v:shape id="_x0000_s1032" type="#_x0000_t202" style="position:absolute;left:2962445;top:2087803;width:94244;height:1344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</w:pPr>
                        <w:r>
                          <w:rPr>
                            <w:rFonts w:ascii="Times New Roman" w:hAnsi="Times New Roman" w:hint="default"/>
                            <w:sz w:val="24"/>
                            <w:szCs w:val="24"/>
                            <w:rtl w:val="0"/>
                            <w:lang w:val="ru-RU"/>
                          </w:rPr>
                          <w:t>д</w:t>
                        </w:r>
                      </w:p>
                    </w:txbxContent>
                  </v:textbox>
                </v:shape>
                <v:shape id="_x0000_s1033" type="#_x0000_t202" style="position:absolute;left:4873282;top:2087803;width:94244;height:1344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</w:pPr>
                        <w:r>
                          <w:rPr>
                            <w:rFonts w:ascii="Times New Roman" w:hAnsi="Times New Roman" w:hint="default"/>
                            <w:sz w:val="24"/>
                            <w:szCs w:val="24"/>
                            <w:rtl w:val="0"/>
                            <w:lang w:val="ru-RU"/>
                          </w:rPr>
                          <w:t>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Спектры почвенных образцов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фракция менее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0,25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агрозем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 –агроабразем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аллювиальная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чернозем выщелоченный освоенный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 – каштановая освоенная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– солодь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Проведенное исследование показало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метод гиперспектрального анализа выявляет различия между разными типами почв и может быть использован в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почвенной экспертизе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Литература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Нестерина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Градусова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Ищенко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Бокша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«Решение следственных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стоящих перед сотрудниками ФСКН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помощью экспертного исследования объектов почвенно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растительного происхождения»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2010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Савин И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Шишкин М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Шарычев Д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Особенности спектральной отражательной способности фракций образцов почв размером от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5 000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мкм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Бюллетень Почвенного института имени В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Докучаева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2022.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Вып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112.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 24-47.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ru-RU"/>
        </w:rPr>
        <w:t>3.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Sangwan, P., Nain, T.,Singal, K., Hoodaa, N., Sharma, N.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«</w:t>
      </w:r>
      <w:r>
        <w:rPr>
          <w:rFonts w:ascii="Times New Roman" w:hAnsi="Times New Roman"/>
          <w:sz w:val="24"/>
          <w:szCs w:val="24"/>
          <w:rtl w:val="0"/>
          <w:lang w:val="en-US"/>
        </w:rPr>
        <w:t>Soil as a tool of revelation in forensic science: a review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Analitical Methods,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"https://pubs.rsc.org/en/journals/journal/ay?issueid=ay012043&amp;type=current&amp;issnprint=1759-9660"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en-US"/>
        </w:rPr>
        <w:t>Issue 43, 2020</w:t>
      </w:r>
      <w:r>
        <w:rPr>
          <w:lang w:val="en-US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361" w:bottom="1134" w:left="1361" w:header="113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i w:val="1"/>
      <w:iCs w:val="1"/>
      <w:sz w:val="24"/>
      <w:szCs w:val="24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