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52C2B69" w:rsidR="00130241" w:rsidRDefault="00C14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4608">
        <w:rPr>
          <w:b/>
          <w:color w:val="000000"/>
        </w:rPr>
        <w:t xml:space="preserve">Сравнение методов </w:t>
      </w:r>
      <w:proofErr w:type="spellStart"/>
      <w:r>
        <w:rPr>
          <w:b/>
          <w:color w:val="000000"/>
        </w:rPr>
        <w:t>пробоподготовки</w:t>
      </w:r>
      <w:proofErr w:type="spellEnd"/>
      <w:r>
        <w:rPr>
          <w:b/>
          <w:color w:val="000000"/>
        </w:rPr>
        <w:t xml:space="preserve"> почвы для определения</w:t>
      </w:r>
      <w:r w:rsidRPr="00C14608">
        <w:rPr>
          <w:b/>
          <w:color w:val="000000"/>
        </w:rPr>
        <w:t xml:space="preserve"> подвижных форм элементов</w:t>
      </w:r>
    </w:p>
    <w:p w14:paraId="00000002" w14:textId="5078CFF5" w:rsidR="00130241" w:rsidRDefault="00C14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Тлеужанова</w:t>
      </w:r>
      <w:proofErr w:type="spellEnd"/>
      <w:r>
        <w:rPr>
          <w:b/>
          <w:i/>
          <w:color w:val="000000"/>
        </w:rPr>
        <w:t xml:space="preserve"> Р.Д.</w:t>
      </w:r>
    </w:p>
    <w:p w14:paraId="00000003" w14:textId="7BC1543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</w:p>
    <w:p w14:paraId="00000005" w14:textId="3E43CE65" w:rsidR="00130241" w:rsidRPr="000E334E" w:rsidRDefault="00C14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4608">
        <w:rPr>
          <w:i/>
          <w:color w:val="000000"/>
        </w:rPr>
        <w:t>Национальный исследовательский технологический университет «МИСИС»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D137C3">
        <w:rPr>
          <w:i/>
          <w:color w:val="000000"/>
        </w:rPr>
        <w:t>и</w:t>
      </w:r>
      <w:r w:rsidR="00D137C3" w:rsidRPr="00D137C3">
        <w:rPr>
          <w:i/>
          <w:color w:val="000000"/>
        </w:rPr>
        <w:t xml:space="preserve">нститут </w:t>
      </w:r>
      <w:proofErr w:type="spellStart"/>
      <w:r w:rsidR="00D137C3" w:rsidRPr="00D137C3">
        <w:rPr>
          <w:i/>
          <w:color w:val="000000"/>
        </w:rPr>
        <w:t>экотехнологий</w:t>
      </w:r>
      <w:proofErr w:type="spellEnd"/>
      <w:r w:rsidR="00D137C3" w:rsidRPr="00D137C3">
        <w:rPr>
          <w:i/>
          <w:color w:val="000000"/>
        </w:rPr>
        <w:t xml:space="preserve"> и инжиниринга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394C057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D137C3" w:rsidRPr="00D137C3">
        <w:rPr>
          <w:i/>
        </w:rPr>
        <w:t>tleuzhanova14@bk.ru</w:t>
      </w:r>
    </w:p>
    <w:p w14:paraId="3A8C6870" w14:textId="77777777" w:rsidR="00D137C3" w:rsidRPr="00D137C3" w:rsidRDefault="00D137C3" w:rsidP="00D137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37C3">
        <w:rPr>
          <w:color w:val="000000"/>
        </w:rPr>
        <w:t xml:space="preserve">Почва, обладая высокой сорбционной способностью, накапливает различные химические элементы, включая токсичные, и регулирует их миграцию в природные воды и питательную среду растений. Некоторые из них, даже в небольших концентрациях, могут оказывать негативное воздействие на живые организмы. Химические элементы присутствуют в почве в различных формах, наиболее доступной для растений является их подвижная форма. Таким образом, определение содержания подвижных форм элементов является ключевым для оценки санитарно-гигиенической обстановки, определяющей необходимость проведения процессов обезвреживания различных токсических веществ. </w:t>
      </w:r>
    </w:p>
    <w:p w14:paraId="406BD03E" w14:textId="13F62BAD" w:rsidR="00DE271F" w:rsidRDefault="00D137C3" w:rsidP="00414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37C3">
        <w:rPr>
          <w:color w:val="000000"/>
        </w:rPr>
        <w:t xml:space="preserve">Для определения подвижных форм </w:t>
      </w:r>
      <w:r w:rsidR="00707D71">
        <w:rPr>
          <w:color w:val="000000"/>
        </w:rPr>
        <w:t>используется</w:t>
      </w:r>
      <w:r w:rsidRPr="00D137C3">
        <w:rPr>
          <w:color w:val="000000"/>
        </w:rPr>
        <w:t xml:space="preserve"> широкий перечень методик, которые различаются используемыми методами </w:t>
      </w:r>
      <w:r w:rsidR="00414715">
        <w:rPr>
          <w:color w:val="000000"/>
        </w:rPr>
        <w:t xml:space="preserve">количественного химического </w:t>
      </w:r>
      <w:r w:rsidRPr="00D137C3">
        <w:rPr>
          <w:color w:val="000000"/>
        </w:rPr>
        <w:t>анализа, составом экстрагирующего раствора для извлечения микроэлементов из почвы, схемой приготовления почвенной вытяжки.</w:t>
      </w:r>
      <w:r w:rsidR="006E04D8">
        <w:rPr>
          <w:color w:val="000000"/>
        </w:rPr>
        <w:t xml:space="preserve"> </w:t>
      </w:r>
      <w:r w:rsidRPr="00D137C3">
        <w:rPr>
          <w:color w:val="000000"/>
        </w:rPr>
        <w:t xml:space="preserve">В данном исследовании сравнивали четыре схемы </w:t>
      </w:r>
      <w:proofErr w:type="spellStart"/>
      <w:r w:rsidRPr="00D137C3">
        <w:rPr>
          <w:color w:val="000000"/>
        </w:rPr>
        <w:t>пробоподготовки</w:t>
      </w:r>
      <w:proofErr w:type="spellEnd"/>
      <w:r w:rsidRPr="00D137C3">
        <w:rPr>
          <w:color w:val="000000"/>
        </w:rPr>
        <w:t xml:space="preserve"> с использованием ацетатно-аммонийного буферного раствора (</w:t>
      </w:r>
      <w:proofErr w:type="spellStart"/>
      <w:r w:rsidRPr="00D137C3">
        <w:rPr>
          <w:color w:val="000000"/>
        </w:rPr>
        <w:t>pH</w:t>
      </w:r>
      <w:proofErr w:type="spellEnd"/>
      <w:r w:rsidRPr="00D137C3">
        <w:rPr>
          <w:color w:val="000000"/>
        </w:rPr>
        <w:t xml:space="preserve"> = 4,8) в качестве экстрагирующего</w:t>
      </w:r>
      <w:r w:rsidR="00953155">
        <w:rPr>
          <w:color w:val="000000"/>
        </w:rPr>
        <w:t>, для этого</w:t>
      </w:r>
      <w:r w:rsidR="00953155" w:rsidRPr="00953155">
        <w:rPr>
          <w:color w:val="000000"/>
        </w:rPr>
        <w:t xml:space="preserve"> проанализиров</w:t>
      </w:r>
      <w:r w:rsidR="00953155">
        <w:rPr>
          <w:color w:val="000000"/>
        </w:rPr>
        <w:t>али</w:t>
      </w:r>
      <w:r w:rsidR="00953155" w:rsidRPr="00953155">
        <w:rPr>
          <w:color w:val="000000"/>
        </w:rPr>
        <w:t xml:space="preserve"> химический состав пяти почвенных образцов</w:t>
      </w:r>
      <w:r w:rsidR="00953155">
        <w:rPr>
          <w:color w:val="000000"/>
        </w:rPr>
        <w:t>, отобранных</w:t>
      </w:r>
      <w:r w:rsidR="00953155" w:rsidRPr="00953155">
        <w:rPr>
          <w:color w:val="000000"/>
        </w:rPr>
        <w:t xml:space="preserve"> </w:t>
      </w:r>
      <w:r w:rsidR="00953155">
        <w:rPr>
          <w:color w:val="000000"/>
        </w:rPr>
        <w:t>в</w:t>
      </w:r>
      <w:r w:rsidR="00953155" w:rsidRPr="00953155">
        <w:rPr>
          <w:color w:val="000000"/>
        </w:rPr>
        <w:t xml:space="preserve"> различных регион</w:t>
      </w:r>
      <w:r w:rsidR="00953155">
        <w:rPr>
          <w:color w:val="000000"/>
        </w:rPr>
        <w:t>ах</w:t>
      </w:r>
      <w:r w:rsidR="00953155" w:rsidRPr="00953155">
        <w:rPr>
          <w:color w:val="000000"/>
        </w:rPr>
        <w:t xml:space="preserve"> Росси</w:t>
      </w:r>
      <w:r w:rsidR="00953155">
        <w:rPr>
          <w:color w:val="000000"/>
        </w:rPr>
        <w:t>йской Федерации</w:t>
      </w:r>
      <w:r w:rsidR="00953155" w:rsidRPr="00953155">
        <w:rPr>
          <w:color w:val="000000"/>
        </w:rPr>
        <w:t xml:space="preserve"> и </w:t>
      </w:r>
      <w:r w:rsidR="00953155">
        <w:rPr>
          <w:color w:val="000000"/>
        </w:rPr>
        <w:t xml:space="preserve">Республики </w:t>
      </w:r>
      <w:r w:rsidR="00953155" w:rsidRPr="00953155">
        <w:rPr>
          <w:color w:val="000000"/>
        </w:rPr>
        <w:t>Казахстан.</w:t>
      </w:r>
      <w:r w:rsidRPr="00D137C3">
        <w:rPr>
          <w:color w:val="000000"/>
        </w:rPr>
        <w:t xml:space="preserve"> </w:t>
      </w:r>
      <w:r w:rsidR="00707D71">
        <w:rPr>
          <w:color w:val="000000"/>
        </w:rPr>
        <w:t xml:space="preserve">Кроме того, было установлено влияние частоты перемешивания пробы почвы с буферным раствором на эффективность </w:t>
      </w:r>
      <w:r w:rsidR="001F2347">
        <w:rPr>
          <w:color w:val="000000"/>
        </w:rPr>
        <w:t xml:space="preserve">экстракции </w:t>
      </w:r>
      <w:proofErr w:type="spellStart"/>
      <w:r w:rsidR="001F2347">
        <w:rPr>
          <w:color w:val="000000"/>
        </w:rPr>
        <w:t>аналитов</w:t>
      </w:r>
      <w:proofErr w:type="spellEnd"/>
      <w:r w:rsidR="001F2347">
        <w:rPr>
          <w:color w:val="000000"/>
        </w:rPr>
        <w:t xml:space="preserve">. </w:t>
      </w:r>
      <w:r w:rsidR="00953155" w:rsidRPr="00953155">
        <w:rPr>
          <w:color w:val="000000"/>
        </w:rPr>
        <w:t xml:space="preserve">В таблице </w:t>
      </w:r>
      <w:r w:rsidR="00953155">
        <w:rPr>
          <w:color w:val="000000"/>
        </w:rPr>
        <w:t>1</w:t>
      </w:r>
      <w:r w:rsidR="00953155" w:rsidRPr="00953155">
        <w:rPr>
          <w:color w:val="000000"/>
        </w:rPr>
        <w:t xml:space="preserve"> представлены номера</w:t>
      </w:r>
      <w:r w:rsidR="00DE271F">
        <w:rPr>
          <w:color w:val="000000"/>
        </w:rPr>
        <w:t>, присвоенные</w:t>
      </w:r>
      <w:r w:rsidR="00953155" w:rsidRPr="00953155">
        <w:rPr>
          <w:color w:val="000000"/>
        </w:rPr>
        <w:t xml:space="preserve"> разным алгоритмам извлечения подвижных форм</w:t>
      </w:r>
      <w:r w:rsidR="00DE271F">
        <w:rPr>
          <w:color w:val="000000"/>
        </w:rPr>
        <w:t>,</w:t>
      </w:r>
      <w:r w:rsidR="00953155" w:rsidRPr="00953155">
        <w:rPr>
          <w:color w:val="000000"/>
        </w:rPr>
        <w:t xml:space="preserve"> и </w:t>
      </w:r>
      <w:r w:rsidR="00DE271F">
        <w:rPr>
          <w:color w:val="000000"/>
        </w:rPr>
        <w:t>нормативные документы</w:t>
      </w:r>
      <w:r w:rsidR="001F2347">
        <w:rPr>
          <w:color w:val="000000"/>
        </w:rPr>
        <w:t xml:space="preserve"> (НД)</w:t>
      </w:r>
      <w:r w:rsidR="00953155" w:rsidRPr="00953155">
        <w:rPr>
          <w:color w:val="000000"/>
        </w:rPr>
        <w:t xml:space="preserve">, </w:t>
      </w:r>
      <w:r w:rsidR="0026466A">
        <w:rPr>
          <w:color w:val="000000"/>
        </w:rPr>
        <w:t xml:space="preserve">в которых регламентирована схема </w:t>
      </w:r>
      <w:proofErr w:type="spellStart"/>
      <w:r w:rsidR="0026466A">
        <w:rPr>
          <w:color w:val="000000"/>
        </w:rPr>
        <w:t>пробоподготовки</w:t>
      </w:r>
      <w:proofErr w:type="spellEnd"/>
      <w:r w:rsidR="00953155" w:rsidRPr="00953155">
        <w:rPr>
          <w:color w:val="000000"/>
        </w:rPr>
        <w:t>.</w:t>
      </w:r>
      <w:r w:rsidR="00DE271F">
        <w:rPr>
          <w:color w:val="000000"/>
        </w:rPr>
        <w:t xml:space="preserve"> </w:t>
      </w:r>
    </w:p>
    <w:p w14:paraId="60BE475E" w14:textId="77777777" w:rsidR="00DE271F" w:rsidRPr="00DE271F" w:rsidRDefault="00DE271F" w:rsidP="00DE27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Таблица 1. </w:t>
      </w:r>
      <w:r w:rsidRPr="00DE271F">
        <w:rPr>
          <w:color w:val="000000"/>
        </w:rPr>
        <w:t xml:space="preserve">Условные обозначения для разных схем извлечения </w:t>
      </w:r>
      <w:proofErr w:type="spellStart"/>
      <w:r w:rsidRPr="00DE271F">
        <w:rPr>
          <w:color w:val="000000"/>
        </w:rPr>
        <w:t>аналитов</w:t>
      </w:r>
      <w:proofErr w:type="spellEnd"/>
      <w:r w:rsidRPr="00DE271F">
        <w:rPr>
          <w:color w:val="000000"/>
        </w:rPr>
        <w:t xml:space="preserve"> из почвы и</w:t>
      </w:r>
    </w:p>
    <w:p w14:paraId="292434B3" w14:textId="5F290C58" w:rsidR="00DE271F" w:rsidRDefault="00DE271F" w:rsidP="00DE27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DE271F">
        <w:rPr>
          <w:color w:val="000000"/>
        </w:rPr>
        <w:t>соответствующие им аттестованные методики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87"/>
        <w:gridCol w:w="4587"/>
      </w:tblGrid>
      <w:tr w:rsidR="00DE271F" w:rsidRPr="00DE271F" w14:paraId="1E9380B9" w14:textId="77777777" w:rsidTr="0026466A">
        <w:trPr>
          <w:jc w:val="center"/>
        </w:trPr>
        <w:tc>
          <w:tcPr>
            <w:tcW w:w="4587" w:type="dxa"/>
            <w:vAlign w:val="center"/>
          </w:tcPr>
          <w:p w14:paraId="38ECDBED" w14:textId="2441CD2D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№ схемы извлечения</w:t>
            </w:r>
          </w:p>
        </w:tc>
        <w:tc>
          <w:tcPr>
            <w:tcW w:w="4587" w:type="dxa"/>
            <w:vAlign w:val="center"/>
          </w:tcPr>
          <w:p w14:paraId="71BDEF55" w14:textId="0B68EBCD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НД, в котором описана схема</w:t>
            </w:r>
          </w:p>
        </w:tc>
      </w:tr>
      <w:tr w:rsidR="00DE271F" w:rsidRPr="00DE271F" w14:paraId="2D5F0E3A" w14:textId="77777777" w:rsidTr="0026466A">
        <w:trPr>
          <w:jc w:val="center"/>
        </w:trPr>
        <w:tc>
          <w:tcPr>
            <w:tcW w:w="4587" w:type="dxa"/>
            <w:vAlign w:val="center"/>
          </w:tcPr>
          <w:p w14:paraId="1BBE01F7" w14:textId="532AD0A4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1 схема</w:t>
            </w:r>
            <w:bookmarkStart w:id="0" w:name="_GoBack"/>
            <w:bookmarkEnd w:id="0"/>
          </w:p>
        </w:tc>
        <w:tc>
          <w:tcPr>
            <w:tcW w:w="4587" w:type="dxa"/>
            <w:vAlign w:val="center"/>
          </w:tcPr>
          <w:p w14:paraId="635E2284" w14:textId="482FEB53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ГОСТ Р 50683-94, ГОСТ Р 50686-94, ГОСТ Р 50685-94</w:t>
            </w:r>
          </w:p>
        </w:tc>
      </w:tr>
      <w:tr w:rsidR="00DE271F" w:rsidRPr="00DE271F" w14:paraId="2564D073" w14:textId="77777777" w:rsidTr="0026466A">
        <w:trPr>
          <w:jc w:val="center"/>
        </w:trPr>
        <w:tc>
          <w:tcPr>
            <w:tcW w:w="4587" w:type="dxa"/>
            <w:vAlign w:val="center"/>
          </w:tcPr>
          <w:p w14:paraId="32B18C9B" w14:textId="2C93141F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2 схема</w:t>
            </w:r>
          </w:p>
        </w:tc>
        <w:tc>
          <w:tcPr>
            <w:tcW w:w="4587" w:type="dxa"/>
            <w:vAlign w:val="center"/>
          </w:tcPr>
          <w:p w14:paraId="606BDF5D" w14:textId="76B6E35B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М-МВИ-80-2008, РД 52.18.289-90</w:t>
            </w:r>
          </w:p>
        </w:tc>
      </w:tr>
      <w:tr w:rsidR="00DE271F" w:rsidRPr="00DE271F" w14:paraId="21163512" w14:textId="77777777" w:rsidTr="0026466A">
        <w:trPr>
          <w:jc w:val="center"/>
        </w:trPr>
        <w:tc>
          <w:tcPr>
            <w:tcW w:w="4587" w:type="dxa"/>
            <w:vAlign w:val="center"/>
          </w:tcPr>
          <w:p w14:paraId="279D8134" w14:textId="2177BC5C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3 схема</w:t>
            </w:r>
          </w:p>
        </w:tc>
        <w:tc>
          <w:tcPr>
            <w:tcW w:w="4587" w:type="dxa"/>
            <w:vAlign w:val="center"/>
          </w:tcPr>
          <w:p w14:paraId="60726EEC" w14:textId="34B6D7D2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ПНД Ф 16.2.2:2.3.71-2011</w:t>
            </w:r>
          </w:p>
        </w:tc>
      </w:tr>
      <w:tr w:rsidR="00DE271F" w:rsidRPr="00DE271F" w14:paraId="0D2F4BD4" w14:textId="77777777" w:rsidTr="0026466A">
        <w:trPr>
          <w:jc w:val="center"/>
        </w:trPr>
        <w:tc>
          <w:tcPr>
            <w:tcW w:w="4587" w:type="dxa"/>
            <w:vAlign w:val="center"/>
          </w:tcPr>
          <w:p w14:paraId="6BFEA524" w14:textId="0981D9C3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4 схема</w:t>
            </w:r>
          </w:p>
        </w:tc>
        <w:tc>
          <w:tcPr>
            <w:tcW w:w="4587" w:type="dxa"/>
            <w:vAlign w:val="center"/>
          </w:tcPr>
          <w:p w14:paraId="2312395C" w14:textId="4D1D7397" w:rsidR="00DE271F" w:rsidRPr="00DE271F" w:rsidRDefault="00DE271F" w:rsidP="0026466A">
            <w:pPr>
              <w:jc w:val="center"/>
              <w:rPr>
                <w:color w:val="000000"/>
                <w:sz w:val="22"/>
                <w:szCs w:val="22"/>
              </w:rPr>
            </w:pPr>
            <w:r w:rsidRPr="00DE271F">
              <w:rPr>
                <w:color w:val="000000"/>
                <w:sz w:val="22"/>
                <w:szCs w:val="22"/>
              </w:rPr>
              <w:t>ПНД Ф 16.1:2:3.3.50-08</w:t>
            </w:r>
          </w:p>
        </w:tc>
      </w:tr>
    </w:tbl>
    <w:p w14:paraId="03223DC9" w14:textId="32BCF6EE" w:rsidR="007C36D8" w:rsidRPr="00797838" w:rsidRDefault="00707D71" w:rsidP="00D137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07D71">
        <w:rPr>
          <w:color w:val="000000"/>
        </w:rPr>
        <w:t xml:space="preserve">В первой и третьей схемах пробы почвы перемешивали с буферным раствором на шейкере в течение часа, </w:t>
      </w:r>
      <w:r w:rsidR="0026466A">
        <w:rPr>
          <w:color w:val="000000"/>
        </w:rPr>
        <w:t>а</w:t>
      </w:r>
      <w:r w:rsidRPr="00707D71">
        <w:rPr>
          <w:color w:val="000000"/>
        </w:rPr>
        <w:t xml:space="preserve"> в третьей экстракция проводилась в два этапа с добавлением новой порции </w:t>
      </w:r>
      <w:proofErr w:type="spellStart"/>
      <w:r w:rsidRPr="00707D71">
        <w:rPr>
          <w:color w:val="000000"/>
        </w:rPr>
        <w:t>экстрагента</w:t>
      </w:r>
      <w:proofErr w:type="spellEnd"/>
      <w:r w:rsidRPr="00707D71">
        <w:rPr>
          <w:color w:val="000000"/>
        </w:rPr>
        <w:t>. Вторая и четвёртая схемы предусматривали суточное настаивание с периодическим перемешиванием, причём во второй пробу дополнительно промывали буферным раствором</w:t>
      </w:r>
      <w:r>
        <w:rPr>
          <w:color w:val="000000"/>
        </w:rPr>
        <w:t xml:space="preserve"> </w:t>
      </w:r>
      <w:r w:rsidRPr="00707D71">
        <w:rPr>
          <w:color w:val="000000"/>
        </w:rPr>
        <w:t>на</w:t>
      </w:r>
      <w:r>
        <w:rPr>
          <w:color w:val="000000"/>
        </w:rPr>
        <w:t xml:space="preserve"> </w:t>
      </w:r>
      <w:r w:rsidRPr="00707D71">
        <w:rPr>
          <w:color w:val="000000"/>
        </w:rPr>
        <w:t>фильтре.</w:t>
      </w:r>
      <w:r>
        <w:rPr>
          <w:color w:val="000000"/>
        </w:rPr>
        <w:t xml:space="preserve"> </w:t>
      </w:r>
      <w:r w:rsidR="00D137C3" w:rsidRPr="00D137C3">
        <w:rPr>
          <w:color w:val="000000"/>
        </w:rPr>
        <w:t>Результаты показали, что при настаивании концентрации извлекаемых элементов были в 2</w:t>
      </w:r>
      <w:r w:rsidR="00414715">
        <w:rPr>
          <w:color w:val="000000"/>
        </w:rPr>
        <w:t>–</w:t>
      </w:r>
      <w:r w:rsidR="00D137C3" w:rsidRPr="00D137C3">
        <w:rPr>
          <w:color w:val="000000"/>
        </w:rPr>
        <w:t>2,5</w:t>
      </w:r>
      <w:r w:rsidR="00BB73A7">
        <w:rPr>
          <w:color w:val="000000"/>
        </w:rPr>
        <w:t> </w:t>
      </w:r>
      <w:r w:rsidR="00D137C3" w:rsidRPr="00D137C3">
        <w:rPr>
          <w:color w:val="000000"/>
        </w:rPr>
        <w:t>раза выше, чем при перемешивании на шейкере. Для большинства проб различия между 2 и 4 схемами были минимальны. Анализ влияния частоты перемешивания на шейкере (110, 150 и 190</w:t>
      </w:r>
      <w:r w:rsidR="00414715">
        <w:rPr>
          <w:color w:val="000000"/>
        </w:rPr>
        <w:t> </w:t>
      </w:r>
      <w:r w:rsidR="00D137C3" w:rsidRPr="00D137C3">
        <w:rPr>
          <w:color w:val="000000"/>
        </w:rPr>
        <w:t>об/мин) показал, что при 110</w:t>
      </w:r>
      <w:r w:rsidR="00414715">
        <w:rPr>
          <w:color w:val="000000"/>
        </w:rPr>
        <w:t> </w:t>
      </w:r>
      <w:r w:rsidR="00D137C3" w:rsidRPr="00D137C3">
        <w:rPr>
          <w:color w:val="000000"/>
        </w:rPr>
        <w:t xml:space="preserve">об/мин содержание </w:t>
      </w:r>
      <w:proofErr w:type="spellStart"/>
      <w:r w:rsidR="00D137C3" w:rsidRPr="00D137C3">
        <w:rPr>
          <w:color w:val="000000"/>
        </w:rPr>
        <w:t>аналитов</w:t>
      </w:r>
      <w:proofErr w:type="spellEnd"/>
      <w:r w:rsidR="00D137C3" w:rsidRPr="00D137C3">
        <w:rPr>
          <w:color w:val="000000"/>
        </w:rPr>
        <w:t xml:space="preserve"> было на 20–30</w:t>
      </w:r>
      <w:r w:rsidR="00414715">
        <w:rPr>
          <w:color w:val="000000"/>
        </w:rPr>
        <w:t> </w:t>
      </w:r>
      <w:r w:rsidR="00D137C3" w:rsidRPr="00D137C3">
        <w:rPr>
          <w:color w:val="000000"/>
        </w:rPr>
        <w:t xml:space="preserve">% ниже. Исключение составляют щелочные (K, </w:t>
      </w:r>
      <w:proofErr w:type="spellStart"/>
      <w:r w:rsidR="00D137C3" w:rsidRPr="00D137C3">
        <w:rPr>
          <w:color w:val="000000"/>
        </w:rPr>
        <w:t>Na</w:t>
      </w:r>
      <w:proofErr w:type="spellEnd"/>
      <w:r w:rsidR="00D137C3" w:rsidRPr="00D137C3">
        <w:rPr>
          <w:color w:val="000000"/>
        </w:rPr>
        <w:t>) и щелочноземельные (</w:t>
      </w:r>
      <w:proofErr w:type="spellStart"/>
      <w:r w:rsidR="00D137C3" w:rsidRPr="00D137C3">
        <w:rPr>
          <w:color w:val="000000"/>
        </w:rPr>
        <w:t>Ca</w:t>
      </w:r>
      <w:proofErr w:type="spellEnd"/>
      <w:r w:rsidR="00D137C3" w:rsidRPr="00D137C3">
        <w:rPr>
          <w:color w:val="000000"/>
        </w:rPr>
        <w:t xml:space="preserve">, </w:t>
      </w:r>
      <w:proofErr w:type="spellStart"/>
      <w:r w:rsidR="00D137C3" w:rsidRPr="00D137C3">
        <w:rPr>
          <w:color w:val="000000"/>
        </w:rPr>
        <w:t>Sr</w:t>
      </w:r>
      <w:proofErr w:type="spellEnd"/>
      <w:r w:rsidR="00D137C3" w:rsidRPr="00D137C3">
        <w:rPr>
          <w:color w:val="000000"/>
        </w:rPr>
        <w:t xml:space="preserve">, </w:t>
      </w:r>
      <w:proofErr w:type="spellStart"/>
      <w:r w:rsidR="00D137C3" w:rsidRPr="00D137C3">
        <w:rPr>
          <w:color w:val="000000"/>
        </w:rPr>
        <w:t>Ba</w:t>
      </w:r>
      <w:proofErr w:type="spellEnd"/>
      <w:r w:rsidR="00D137C3" w:rsidRPr="00D137C3">
        <w:rPr>
          <w:color w:val="000000"/>
        </w:rPr>
        <w:t xml:space="preserve">, </w:t>
      </w:r>
      <w:proofErr w:type="spellStart"/>
      <w:r w:rsidR="00D137C3" w:rsidRPr="00D137C3">
        <w:rPr>
          <w:color w:val="000000"/>
        </w:rPr>
        <w:t>Mg</w:t>
      </w:r>
      <w:proofErr w:type="spellEnd"/>
      <w:r w:rsidR="00D137C3" w:rsidRPr="00D137C3">
        <w:rPr>
          <w:color w:val="000000"/>
        </w:rPr>
        <w:t>) металлы, их концентрации во всех вытяжках близки. При 150 и 190</w:t>
      </w:r>
      <w:r w:rsidR="00414715">
        <w:rPr>
          <w:color w:val="000000"/>
        </w:rPr>
        <w:t> </w:t>
      </w:r>
      <w:r w:rsidR="00D137C3" w:rsidRPr="00D137C3">
        <w:rPr>
          <w:color w:val="000000"/>
        </w:rPr>
        <w:t>об/мин результаты существенно не отличались, что свидетельствует о достижении эффективного контакта фаз.</w:t>
      </w:r>
      <w:r w:rsidR="001F2347">
        <w:rPr>
          <w:color w:val="000000"/>
        </w:rPr>
        <w:t xml:space="preserve"> </w:t>
      </w:r>
      <w:r w:rsidR="00D137C3" w:rsidRPr="00D137C3">
        <w:rPr>
          <w:color w:val="000000"/>
        </w:rPr>
        <w:t xml:space="preserve">Таким образом, выбор метода </w:t>
      </w:r>
      <w:proofErr w:type="spellStart"/>
      <w:r w:rsidR="00D137C3" w:rsidRPr="00D137C3">
        <w:rPr>
          <w:color w:val="000000"/>
        </w:rPr>
        <w:t>пробоподготовки</w:t>
      </w:r>
      <w:proofErr w:type="spellEnd"/>
      <w:r w:rsidR="00D137C3" w:rsidRPr="00D137C3">
        <w:rPr>
          <w:color w:val="000000"/>
        </w:rPr>
        <w:t xml:space="preserve"> значительно влияет на результаты анализа, что следует учитывать при сравнении данных и оценке экологического состояния почвы.</w:t>
      </w:r>
    </w:p>
    <w:p w14:paraId="022FC08C" w14:textId="0367DB2E" w:rsidR="00A02163" w:rsidRPr="0009449A" w:rsidRDefault="00947505" w:rsidP="0094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47505">
        <w:rPr>
          <w:i/>
          <w:iCs/>
          <w:color w:val="000000"/>
        </w:rPr>
        <w:t>Исследования проведены с использованием оборудования ресурсного центра «Методы</w:t>
      </w:r>
      <w:r>
        <w:rPr>
          <w:i/>
          <w:iCs/>
          <w:color w:val="000000"/>
        </w:rPr>
        <w:t xml:space="preserve"> </w:t>
      </w:r>
      <w:r w:rsidRPr="00947505">
        <w:rPr>
          <w:i/>
          <w:iCs/>
          <w:color w:val="000000"/>
        </w:rPr>
        <w:t>анализа состава вещества» Научного парка СПбГУ. Работа выполнена при финансовой</w:t>
      </w:r>
      <w:r>
        <w:rPr>
          <w:i/>
          <w:iCs/>
          <w:color w:val="000000"/>
        </w:rPr>
        <w:t xml:space="preserve"> </w:t>
      </w:r>
      <w:r w:rsidRPr="00947505">
        <w:rPr>
          <w:i/>
          <w:iCs/>
          <w:color w:val="000000"/>
        </w:rPr>
        <w:t>поддержке гранта Президента РФ в рамках научного проекта № МК-2476.2021.1.3</w:t>
      </w:r>
      <w:r w:rsidR="00A02163" w:rsidRPr="00A02163">
        <w:rPr>
          <w:i/>
          <w:iCs/>
          <w:color w:val="000000"/>
        </w:rPr>
        <w:t>.</w:t>
      </w:r>
    </w:p>
    <w:sectPr w:rsidR="00A02163" w:rsidRPr="000944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2347"/>
    <w:rsid w:val="0022260A"/>
    <w:rsid w:val="002264EE"/>
    <w:rsid w:val="0023307C"/>
    <w:rsid w:val="0026466A"/>
    <w:rsid w:val="0031361E"/>
    <w:rsid w:val="00391C38"/>
    <w:rsid w:val="003B76D6"/>
    <w:rsid w:val="003E2601"/>
    <w:rsid w:val="003F4E6B"/>
    <w:rsid w:val="00414715"/>
    <w:rsid w:val="004A26A3"/>
    <w:rsid w:val="004F0EDF"/>
    <w:rsid w:val="00522BF1"/>
    <w:rsid w:val="00590166"/>
    <w:rsid w:val="005D022B"/>
    <w:rsid w:val="005E5BE9"/>
    <w:rsid w:val="0069427D"/>
    <w:rsid w:val="006E04D8"/>
    <w:rsid w:val="006F7A19"/>
    <w:rsid w:val="00707D71"/>
    <w:rsid w:val="007213E1"/>
    <w:rsid w:val="00775389"/>
    <w:rsid w:val="00797838"/>
    <w:rsid w:val="007C36D8"/>
    <w:rsid w:val="007F2744"/>
    <w:rsid w:val="008931BE"/>
    <w:rsid w:val="008C67E3"/>
    <w:rsid w:val="008F17D7"/>
    <w:rsid w:val="00914205"/>
    <w:rsid w:val="00921D45"/>
    <w:rsid w:val="009426C0"/>
    <w:rsid w:val="00947505"/>
    <w:rsid w:val="00953155"/>
    <w:rsid w:val="00980A65"/>
    <w:rsid w:val="009A66DB"/>
    <w:rsid w:val="009B2F80"/>
    <w:rsid w:val="009B3300"/>
    <w:rsid w:val="009F3380"/>
    <w:rsid w:val="00A02163"/>
    <w:rsid w:val="00A314FE"/>
    <w:rsid w:val="00AD7380"/>
    <w:rsid w:val="00BB73A7"/>
    <w:rsid w:val="00BF36F8"/>
    <w:rsid w:val="00BF4622"/>
    <w:rsid w:val="00C14608"/>
    <w:rsid w:val="00C844E2"/>
    <w:rsid w:val="00CD00B1"/>
    <w:rsid w:val="00D137C3"/>
    <w:rsid w:val="00D22306"/>
    <w:rsid w:val="00D42542"/>
    <w:rsid w:val="00D8121C"/>
    <w:rsid w:val="00DE271F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DE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5115A-EEBD-492F-BD2A-31F7D139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рабига тлеужанова</dc:creator>
  <cp:lastModifiedBy>Тлеужанова Рабига -</cp:lastModifiedBy>
  <cp:revision>8</cp:revision>
  <dcterms:created xsi:type="dcterms:W3CDTF">2025-03-08T16:27:00Z</dcterms:created>
  <dcterms:modified xsi:type="dcterms:W3CDTF">2025-03-09T05:01:00Z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