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AAD6" w14:textId="3FCBACC9" w:rsidR="002308A3" w:rsidRPr="006D5593" w:rsidRDefault="00FB1FFA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6D55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Ансамблирование</w:t>
      </w:r>
      <w:proofErr w:type="spellEnd"/>
      <w:r w:rsidRPr="006D55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5593">
        <w:rPr>
          <w:rFonts w:ascii="Times New Roman" w:hAnsi="Times New Roman" w:cs="Times New Roman"/>
          <w:color w:val="000000" w:themeColor="text1"/>
          <w:sz w:val="24"/>
          <w:szCs w:val="24"/>
        </w:rPr>
        <w:t>HAR</w:t>
      </w:r>
      <w:r w:rsidRPr="006D55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Pr="006D5593">
        <w:rPr>
          <w:rFonts w:ascii="Times New Roman" w:hAnsi="Times New Roman" w:cs="Times New Roman"/>
          <w:color w:val="000000" w:themeColor="text1"/>
          <w:sz w:val="24"/>
          <w:szCs w:val="24"/>
        </w:rPr>
        <w:t>GARCH</w:t>
      </w:r>
      <w:r w:rsidRPr="006D55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прогнозирования </w:t>
      </w:r>
      <w:r w:rsidRPr="00BC32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волатильности</w:t>
      </w:r>
      <w:r w:rsidR="003E3F61" w:rsidRPr="00BC32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C3224" w:rsidRPr="00BC32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BC3224" w:rsidRPr="00BC32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криптовалютных</w:t>
      </w:r>
      <w:proofErr w:type="spellEnd"/>
      <w:r w:rsidR="00BC3224" w:rsidRPr="00BC32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рынках</w:t>
      </w:r>
    </w:p>
    <w:p w14:paraId="73B1B3B9" w14:textId="43393C3C" w:rsidR="002308A3" w:rsidRPr="006D5593" w:rsidRDefault="00FB1FF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593">
        <w:rPr>
          <w:rFonts w:ascii="Times New Roman" w:hAnsi="Times New Roman" w:cs="Times New Roman"/>
          <w:sz w:val="24"/>
          <w:szCs w:val="24"/>
          <w:lang w:val="ru-RU"/>
        </w:rPr>
        <w:t>Садчиков Андрей</w:t>
      </w:r>
      <w:r w:rsidR="006D5593"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5593">
        <w:rPr>
          <w:rFonts w:ascii="Times New Roman" w:hAnsi="Times New Roman" w:cs="Times New Roman"/>
          <w:sz w:val="24"/>
          <w:szCs w:val="24"/>
          <w:lang w:val="ru-RU"/>
        </w:rPr>
        <w:t>Евгеньевич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>, Юрченко Владимир</w:t>
      </w:r>
      <w:r w:rsidR="006D5593">
        <w:rPr>
          <w:rFonts w:ascii="Times New Roman" w:hAnsi="Times New Roman" w:cs="Times New Roman"/>
          <w:sz w:val="24"/>
          <w:szCs w:val="24"/>
          <w:lang w:val="ru-RU"/>
        </w:rPr>
        <w:t xml:space="preserve"> Андреевич</w:t>
      </w:r>
    </w:p>
    <w:p w14:paraId="0348B433" w14:textId="77777777" w:rsidR="002308A3" w:rsidRPr="006D5593" w:rsidRDefault="00FB1FF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593">
        <w:rPr>
          <w:rFonts w:ascii="Times New Roman" w:hAnsi="Times New Roman" w:cs="Times New Roman"/>
          <w:sz w:val="24"/>
          <w:szCs w:val="24"/>
          <w:lang w:val="ru-RU"/>
        </w:rPr>
        <w:t>Студенты</w:t>
      </w:r>
    </w:p>
    <w:p w14:paraId="1735C2E6" w14:textId="77777777" w:rsidR="002308A3" w:rsidRPr="006D5593" w:rsidRDefault="00FB1FF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Московский Физико-Технический Институт, </w:t>
      </w:r>
    </w:p>
    <w:p w14:paraId="0482B825" w14:textId="77777777" w:rsidR="002308A3" w:rsidRPr="006D5593" w:rsidRDefault="00FB1FF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593">
        <w:rPr>
          <w:rFonts w:ascii="Times New Roman" w:hAnsi="Times New Roman" w:cs="Times New Roman"/>
          <w:sz w:val="24"/>
          <w:szCs w:val="24"/>
          <w:lang w:val="ru-RU"/>
        </w:rPr>
        <w:t>Физтех-Школа Прикладной Математики и Информатики, Москва, Россия</w:t>
      </w:r>
    </w:p>
    <w:p w14:paraId="25DF0B9B" w14:textId="6D541559" w:rsidR="002308A3" w:rsidRPr="00C50CF0" w:rsidRDefault="00FB1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593">
        <w:rPr>
          <w:rFonts w:ascii="Times New Roman" w:hAnsi="Times New Roman" w:cs="Times New Roman"/>
          <w:sz w:val="24"/>
          <w:szCs w:val="24"/>
        </w:rPr>
        <w:t>E</w:t>
      </w:r>
      <w:r w:rsidRPr="00C50CF0">
        <w:rPr>
          <w:rFonts w:ascii="Times New Roman" w:hAnsi="Times New Roman" w:cs="Times New Roman"/>
          <w:sz w:val="24"/>
          <w:szCs w:val="24"/>
        </w:rPr>
        <w:t>–</w:t>
      </w:r>
      <w:r w:rsidRPr="006D5593">
        <w:rPr>
          <w:rFonts w:ascii="Times New Roman" w:hAnsi="Times New Roman" w:cs="Times New Roman"/>
          <w:sz w:val="24"/>
          <w:szCs w:val="24"/>
        </w:rPr>
        <w:t>mail</w:t>
      </w:r>
      <w:r w:rsidR="00C50CF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54122" w:rsidRPr="00AA4FE9">
          <w:rPr>
            <w:rStyle w:val="Hyperlink"/>
            <w:rFonts w:ascii="Times New Roman" w:hAnsi="Times New Roman" w:cs="Times New Roman"/>
            <w:sz w:val="24"/>
            <w:szCs w:val="24"/>
          </w:rPr>
          <w:t>sadchikov.ae@phy</w:t>
        </w:r>
        <w:r w:rsidR="00754122" w:rsidRPr="00AA4FE9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754122" w:rsidRPr="00AA4FE9">
          <w:rPr>
            <w:rStyle w:val="Hyperlink"/>
            <w:rFonts w:ascii="Times New Roman" w:hAnsi="Times New Roman" w:cs="Times New Roman"/>
            <w:sz w:val="24"/>
            <w:szCs w:val="24"/>
          </w:rPr>
          <w:t>tech.edu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C50C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0CF0" w:rsidRPr="00C50CF0">
          <w:rPr>
            <w:rStyle w:val="Hyperlink"/>
            <w:rFonts w:ascii="Times New Roman" w:hAnsi="Times New Roman" w:cs="Times New Roman"/>
            <w:sz w:val="24"/>
            <w:szCs w:val="24"/>
          </w:rPr>
          <w:t>iurchen</w:t>
        </w:r>
        <w:r w:rsidR="00C50CF0" w:rsidRPr="00C50CF0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  <w:r w:rsidR="00C50CF0" w:rsidRPr="00C50CF0">
          <w:rPr>
            <w:rStyle w:val="Hyperlink"/>
            <w:rFonts w:ascii="Times New Roman" w:hAnsi="Times New Roman" w:cs="Times New Roman"/>
            <w:sz w:val="24"/>
            <w:szCs w:val="24"/>
          </w:rPr>
          <w:t>o.va@phystech.edu</w:t>
        </w:r>
      </w:hyperlink>
    </w:p>
    <w:p w14:paraId="78CCFA91" w14:textId="71210554" w:rsidR="002308A3" w:rsidRPr="006D5593" w:rsidRDefault="00FB1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В данной работе исследуется использование </w:t>
      </w:r>
      <w:proofErr w:type="spellStart"/>
      <w:r w:rsidRPr="006D5593">
        <w:rPr>
          <w:rFonts w:ascii="Times New Roman" w:hAnsi="Times New Roman" w:cs="Times New Roman"/>
          <w:sz w:val="24"/>
          <w:szCs w:val="24"/>
          <w:lang w:val="ru-RU"/>
        </w:rPr>
        <w:t>ансамблирования</w:t>
      </w:r>
      <w:proofErr w:type="spellEnd"/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для улучшения прогноза волатильности на </w:t>
      </w:r>
      <w:proofErr w:type="spellStart"/>
      <w:r w:rsidRPr="006D5593">
        <w:rPr>
          <w:rFonts w:ascii="Times New Roman" w:hAnsi="Times New Roman" w:cs="Times New Roman"/>
          <w:sz w:val="24"/>
          <w:szCs w:val="24"/>
          <w:lang w:val="ru-RU"/>
        </w:rPr>
        <w:t>криптовалютных</w:t>
      </w:r>
      <w:proofErr w:type="spellEnd"/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рынках путем комбинирования моделей </w:t>
      </w:r>
      <w:r w:rsidRPr="006D5593">
        <w:rPr>
          <w:rFonts w:ascii="Times New Roman" w:hAnsi="Times New Roman" w:cs="Times New Roman"/>
          <w:sz w:val="24"/>
          <w:szCs w:val="24"/>
        </w:rPr>
        <w:t>HAR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D5593">
        <w:rPr>
          <w:rFonts w:ascii="Times New Roman" w:hAnsi="Times New Roman" w:cs="Times New Roman"/>
          <w:sz w:val="24"/>
          <w:szCs w:val="24"/>
        </w:rPr>
        <w:t>GARCH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. Было установлено, что ансамбль моделей, включающий </w:t>
      </w:r>
      <w:r w:rsidRPr="006D5593">
        <w:rPr>
          <w:rFonts w:ascii="Times New Roman" w:hAnsi="Times New Roman" w:cs="Times New Roman"/>
          <w:sz w:val="24"/>
          <w:szCs w:val="24"/>
        </w:rPr>
        <w:t>HAR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D5593">
        <w:rPr>
          <w:rFonts w:ascii="Times New Roman" w:hAnsi="Times New Roman" w:cs="Times New Roman"/>
          <w:sz w:val="24"/>
          <w:szCs w:val="24"/>
        </w:rPr>
        <w:t>GARCH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и наивную модель, улучшил точность прогноза на 33,8% по метрике </w:t>
      </w:r>
      <w:r w:rsidRPr="006D5593">
        <w:rPr>
          <w:rFonts w:ascii="Times New Roman" w:hAnsi="Times New Roman" w:cs="Times New Roman"/>
          <w:sz w:val="24"/>
          <w:szCs w:val="24"/>
        </w:rPr>
        <w:t>MSSE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и на 17,9% по метрике </w:t>
      </w:r>
      <w:r w:rsidRPr="006D5593">
        <w:rPr>
          <w:rFonts w:ascii="Times New Roman" w:hAnsi="Times New Roman" w:cs="Times New Roman"/>
          <w:sz w:val="24"/>
          <w:szCs w:val="24"/>
        </w:rPr>
        <w:t>MAE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6D5593">
        <w:rPr>
          <w:rFonts w:ascii="Times New Roman" w:hAnsi="Times New Roman" w:cs="Times New Roman"/>
          <w:sz w:val="24"/>
          <w:szCs w:val="24"/>
        </w:rPr>
        <w:t>BTC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D5593">
        <w:rPr>
          <w:rFonts w:ascii="Times New Roman" w:hAnsi="Times New Roman" w:cs="Times New Roman"/>
          <w:sz w:val="24"/>
          <w:szCs w:val="24"/>
        </w:rPr>
        <w:t>USD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 наивной моделью. Для </w:t>
      </w:r>
      <w:r w:rsidRPr="006D5593">
        <w:rPr>
          <w:rFonts w:ascii="Times New Roman" w:hAnsi="Times New Roman" w:cs="Times New Roman"/>
          <w:sz w:val="24"/>
          <w:szCs w:val="24"/>
        </w:rPr>
        <w:t>ETH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D5593">
        <w:rPr>
          <w:rFonts w:ascii="Times New Roman" w:hAnsi="Times New Roman" w:cs="Times New Roman"/>
          <w:sz w:val="24"/>
          <w:szCs w:val="24"/>
        </w:rPr>
        <w:t>USD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3F61">
        <w:rPr>
          <w:rFonts w:ascii="Times New Roman" w:hAnsi="Times New Roman" w:cs="Times New Roman"/>
          <w:sz w:val="24"/>
          <w:szCs w:val="24"/>
          <w:lang w:val="ru-RU"/>
        </w:rPr>
        <w:t>ансамбль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продемонстрировал улучш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ение на 19,5% по </w:t>
      </w:r>
      <w:r w:rsidRPr="006D5593">
        <w:rPr>
          <w:rFonts w:ascii="Times New Roman" w:hAnsi="Times New Roman" w:cs="Times New Roman"/>
          <w:sz w:val="24"/>
          <w:szCs w:val="24"/>
        </w:rPr>
        <w:t>MSSE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и на 10,8% по </w:t>
      </w:r>
      <w:r w:rsidRPr="006D5593">
        <w:rPr>
          <w:rFonts w:ascii="Times New Roman" w:hAnsi="Times New Roman" w:cs="Times New Roman"/>
          <w:sz w:val="24"/>
          <w:szCs w:val="24"/>
        </w:rPr>
        <w:t>MAE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 наивной моделью.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Style w:val="TableGrid"/>
        <w:tblW w:w="9519" w:type="dxa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2308A3" w:rsidRPr="006D5593" w14:paraId="28AE1D79" w14:textId="77777777">
        <w:tc>
          <w:tcPr>
            <w:tcW w:w="3173" w:type="dxa"/>
          </w:tcPr>
          <w:p w14:paraId="6AB594E5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3173" w:type="dxa"/>
          </w:tcPr>
          <w:p w14:paraId="531DF7B9" w14:textId="43298DCB" w:rsidR="002308A3" w:rsidRPr="003E3F61" w:rsidRDefault="003E3F6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Times New Roman"/>
                        <w:sz w:val="24"/>
                        <w:szCs w:val="24"/>
                        <w:lang w:val="ru-RU"/>
                      </w:rPr>
                      <m:t>MSSE</m:t>
                    </m:r>
                  </m:e>
                  <m:sup>
                    <m:r>
                      <w:rPr>
                        <w:rFonts w:ascii="Cambria Math" w:eastAsia="MS Mincho" w:hAnsi="Cambria Math" w:cs="Times New Roman"/>
                        <w:sz w:val="24"/>
                        <w:szCs w:val="24"/>
                        <w:lang w:val="ru-RU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173" w:type="dxa"/>
          </w:tcPr>
          <w:p w14:paraId="3FB54894" w14:textId="6C36CFE8" w:rsidR="002308A3" w:rsidRPr="006D5593" w:rsidRDefault="003E3F6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Times New Roman"/>
                        <w:sz w:val="24"/>
                        <w:szCs w:val="24"/>
                      </w:rPr>
                      <m:t>MAE</m:t>
                    </m:r>
                  </m:e>
                  <m:sup>
                    <m:r>
                      <w:rPr>
                        <w:rFonts w:ascii="Cambria Math" w:eastAsia="MS Mincho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2308A3" w:rsidRPr="006D5593" w14:paraId="7084F1F1" w14:textId="77777777">
        <w:tc>
          <w:tcPr>
            <w:tcW w:w="3173" w:type="dxa"/>
          </w:tcPr>
          <w:p w14:paraId="3AAD7E47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Наивная</w:t>
            </w:r>
            <w:proofErr w:type="spellEnd"/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3173" w:type="dxa"/>
          </w:tcPr>
          <w:p w14:paraId="2CD24309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3173" w:type="dxa"/>
          </w:tcPr>
          <w:p w14:paraId="19627090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1.000</w:t>
            </w:r>
          </w:p>
        </w:tc>
      </w:tr>
      <w:tr w:rsidR="002308A3" w:rsidRPr="006D5593" w14:paraId="45D341D5" w14:textId="77777777">
        <w:tc>
          <w:tcPr>
            <w:tcW w:w="3173" w:type="dxa"/>
          </w:tcPr>
          <w:p w14:paraId="37429C25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HAR</w:t>
            </w:r>
          </w:p>
        </w:tc>
        <w:tc>
          <w:tcPr>
            <w:tcW w:w="3173" w:type="dxa"/>
          </w:tcPr>
          <w:p w14:paraId="116CF902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1.149</w:t>
            </w:r>
          </w:p>
        </w:tc>
        <w:tc>
          <w:tcPr>
            <w:tcW w:w="3173" w:type="dxa"/>
          </w:tcPr>
          <w:p w14:paraId="1C9972BB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1.120</w:t>
            </w:r>
          </w:p>
        </w:tc>
      </w:tr>
      <w:tr w:rsidR="002308A3" w:rsidRPr="006D5593" w14:paraId="11A9063C" w14:textId="77777777">
        <w:tc>
          <w:tcPr>
            <w:tcW w:w="3173" w:type="dxa"/>
          </w:tcPr>
          <w:p w14:paraId="5491504F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GARCH</w:t>
            </w:r>
          </w:p>
        </w:tc>
        <w:tc>
          <w:tcPr>
            <w:tcW w:w="3173" w:type="dxa"/>
          </w:tcPr>
          <w:p w14:paraId="65C2CEEC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1.051</w:t>
            </w:r>
          </w:p>
        </w:tc>
        <w:tc>
          <w:tcPr>
            <w:tcW w:w="3173" w:type="dxa"/>
          </w:tcPr>
          <w:p w14:paraId="7D8926F8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1.019</w:t>
            </w:r>
          </w:p>
        </w:tc>
      </w:tr>
      <w:tr w:rsidR="002308A3" w:rsidRPr="006D5593" w14:paraId="2AD66395" w14:textId="77777777">
        <w:tc>
          <w:tcPr>
            <w:tcW w:w="3173" w:type="dxa"/>
          </w:tcPr>
          <w:p w14:paraId="1C60F54E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Ансамбль (</w:t>
            </w: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HAR</w:t>
            </w:r>
            <w:r w:rsidRPr="006D559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GARCH</w:t>
            </w:r>
            <w:r w:rsidRPr="006D559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+ Наивная модель)</w:t>
            </w:r>
          </w:p>
        </w:tc>
        <w:tc>
          <w:tcPr>
            <w:tcW w:w="3173" w:type="dxa"/>
          </w:tcPr>
          <w:p w14:paraId="4EAF6C14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1.338</w:t>
            </w:r>
          </w:p>
        </w:tc>
        <w:tc>
          <w:tcPr>
            <w:tcW w:w="3173" w:type="dxa"/>
          </w:tcPr>
          <w:p w14:paraId="3AD224B1" w14:textId="77777777" w:rsidR="002308A3" w:rsidRPr="006D5593" w:rsidRDefault="00FB1F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eastAsia="MS Mincho" w:hAnsi="Times New Roman" w:cs="Times New Roman"/>
                <w:sz w:val="24"/>
                <w:szCs w:val="24"/>
              </w:rPr>
              <w:t>1.179</w:t>
            </w:r>
          </w:p>
        </w:tc>
      </w:tr>
    </w:tbl>
    <w:p w14:paraId="081FA3D0" w14:textId="58D4B7FB" w:rsidR="00F3440B" w:rsidRPr="00AD3CE5" w:rsidRDefault="00FB1FFA" w:rsidP="00F3440B">
      <w:pPr>
        <w:pStyle w:val="Heading2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6D55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Таблица 1. Метрики </w:t>
      </w:r>
      <w:r w:rsidRPr="006D559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MSSE</w:t>
      </w:r>
      <w:r w:rsidRPr="006D55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</w:t>
      </w:r>
      <w:r w:rsidRPr="006D559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MAE</w:t>
      </w:r>
      <w:r w:rsidR="0075412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6D55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соот</w:t>
      </w:r>
      <w:r w:rsidR="00F34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в</w:t>
      </w:r>
      <w:r w:rsidRPr="006D55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етствующих моделей</w:t>
      </w:r>
      <w:r w:rsidR="00F34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AD3CE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для</w:t>
      </w:r>
      <w:r w:rsidR="00F34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данных </w:t>
      </w:r>
      <w:r w:rsidR="00F34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BTC</w:t>
      </w:r>
      <w:r w:rsidR="00F3440B" w:rsidRPr="00F344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F344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USD</w:t>
      </w:r>
      <w:r w:rsidR="00AD3CE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14:paraId="545FBAAE" w14:textId="77777777" w:rsidR="00F7778C" w:rsidRDefault="00F77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06E74D" w14:textId="104AC331" w:rsidR="002308A3" w:rsidRPr="006D5593" w:rsidRDefault="00FB1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показывают, что </w:t>
      </w:r>
      <w:proofErr w:type="spellStart"/>
      <w:r w:rsidRPr="006D5593">
        <w:rPr>
          <w:rFonts w:ascii="Times New Roman" w:hAnsi="Times New Roman" w:cs="Times New Roman"/>
          <w:sz w:val="24"/>
          <w:szCs w:val="24"/>
          <w:lang w:val="ru-RU"/>
        </w:rPr>
        <w:t>стекинг</w:t>
      </w:r>
      <w:proofErr w:type="spellEnd"/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моделей </w:t>
      </w:r>
      <w:r w:rsidRPr="006D5593">
        <w:rPr>
          <w:rFonts w:ascii="Times New Roman" w:hAnsi="Times New Roman" w:cs="Times New Roman"/>
          <w:sz w:val="24"/>
          <w:szCs w:val="24"/>
        </w:rPr>
        <w:t>HAR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D5593">
        <w:rPr>
          <w:rFonts w:ascii="Times New Roman" w:hAnsi="Times New Roman" w:cs="Times New Roman"/>
          <w:sz w:val="24"/>
          <w:szCs w:val="24"/>
        </w:rPr>
        <w:t>GARCH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 улучшает прогнозиров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ание волатильности, тогда как </w:t>
      </w:r>
      <w:proofErr w:type="spellStart"/>
      <w:r w:rsidRPr="006D559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3440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>ггинг</w:t>
      </w:r>
      <w:proofErr w:type="spellEnd"/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</w:t>
      </w:r>
      <w:r w:rsidRPr="006D5593">
        <w:rPr>
          <w:rFonts w:ascii="Times New Roman" w:hAnsi="Times New Roman" w:cs="Times New Roman"/>
          <w:sz w:val="24"/>
          <w:szCs w:val="24"/>
        </w:rPr>
        <w:t>ARIMA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неэффективен.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br/>
        <w:t xml:space="preserve">Авторы предполагают, что дальнейшие исследования могут быть направлены на оптимизацию весов </w:t>
      </w:r>
      <w:r w:rsidR="00D6666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5593">
        <w:rPr>
          <w:rFonts w:ascii="Times New Roman" w:hAnsi="Times New Roman" w:cs="Times New Roman"/>
          <w:sz w:val="24"/>
          <w:szCs w:val="24"/>
          <w:lang w:val="ru-RU"/>
        </w:rPr>
        <w:t>стекинг</w:t>
      </w:r>
      <w:r w:rsidR="00D66660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и применение более сложных моделей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6D559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3440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6D5593">
        <w:rPr>
          <w:rFonts w:ascii="Times New Roman" w:hAnsi="Times New Roman" w:cs="Times New Roman"/>
          <w:sz w:val="24"/>
          <w:szCs w:val="24"/>
          <w:lang w:val="ru-RU"/>
        </w:rPr>
        <w:t>ггинга</w:t>
      </w:r>
      <w:proofErr w:type="spellEnd"/>
      <w:r w:rsidRPr="006D55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E4637E" w14:textId="77777777" w:rsidR="002308A3" w:rsidRPr="006D5593" w:rsidRDefault="00FB1FFA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5593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  <w:proofErr w:type="spellEnd"/>
    </w:p>
    <w:p w14:paraId="1FC9AF9E" w14:textId="77777777" w:rsidR="002308A3" w:rsidRPr="006D5593" w:rsidRDefault="00FB1FFA">
      <w:pPr>
        <w:rPr>
          <w:rFonts w:ascii="Times New Roman" w:hAnsi="Times New Roman" w:cs="Times New Roman"/>
          <w:sz w:val="24"/>
          <w:szCs w:val="24"/>
        </w:rPr>
      </w:pPr>
      <w:r w:rsidRPr="006D55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5593">
        <w:rPr>
          <w:rFonts w:ascii="Times New Roman" w:hAnsi="Times New Roman" w:cs="Times New Roman"/>
          <w:sz w:val="24"/>
          <w:szCs w:val="24"/>
        </w:rPr>
        <w:t>Bollerslev</w:t>
      </w:r>
      <w:proofErr w:type="spellEnd"/>
      <w:r w:rsidRPr="006D5593">
        <w:rPr>
          <w:rFonts w:ascii="Times New Roman" w:hAnsi="Times New Roman" w:cs="Times New Roman"/>
          <w:sz w:val="24"/>
          <w:szCs w:val="24"/>
        </w:rPr>
        <w:t xml:space="preserve"> T. </w:t>
      </w:r>
      <w:r w:rsidRPr="006D5593">
        <w:rPr>
          <w:rFonts w:ascii="Times New Roman" w:hAnsi="Times New Roman" w:cs="Times New Roman"/>
          <w:sz w:val="24"/>
          <w:szCs w:val="24"/>
        </w:rPr>
        <w:t>Generalized autoregressive conditional heteroskedasticity. Journal of Econometrics 31(3), 307–327 (1986).</w:t>
      </w:r>
    </w:p>
    <w:p w14:paraId="176307E2" w14:textId="77777777" w:rsidR="002308A3" w:rsidRPr="006D5593" w:rsidRDefault="00FB1FFA">
      <w:pPr>
        <w:rPr>
          <w:rFonts w:ascii="Times New Roman" w:hAnsi="Times New Roman" w:cs="Times New Roman"/>
          <w:sz w:val="24"/>
          <w:szCs w:val="24"/>
        </w:rPr>
      </w:pPr>
      <w:r w:rsidRPr="006D559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5593">
        <w:rPr>
          <w:rFonts w:ascii="Times New Roman" w:hAnsi="Times New Roman" w:cs="Times New Roman"/>
          <w:sz w:val="24"/>
          <w:szCs w:val="24"/>
        </w:rPr>
        <w:t>Bollerslev</w:t>
      </w:r>
      <w:proofErr w:type="spellEnd"/>
      <w:r w:rsidRPr="006D5593">
        <w:rPr>
          <w:rFonts w:ascii="Times New Roman" w:hAnsi="Times New Roman" w:cs="Times New Roman"/>
          <w:sz w:val="24"/>
          <w:szCs w:val="24"/>
        </w:rPr>
        <w:t xml:space="preserve"> T., Patton A., </w:t>
      </w:r>
      <w:proofErr w:type="spellStart"/>
      <w:r w:rsidRPr="006D5593">
        <w:rPr>
          <w:rFonts w:ascii="Times New Roman" w:hAnsi="Times New Roman" w:cs="Times New Roman"/>
          <w:sz w:val="24"/>
          <w:szCs w:val="24"/>
        </w:rPr>
        <w:t>Quaedvlieg</w:t>
      </w:r>
      <w:proofErr w:type="spellEnd"/>
      <w:r w:rsidRPr="006D5593">
        <w:rPr>
          <w:rFonts w:ascii="Times New Roman" w:hAnsi="Times New Roman" w:cs="Times New Roman"/>
          <w:sz w:val="24"/>
          <w:szCs w:val="24"/>
        </w:rPr>
        <w:t xml:space="preserve"> R. Exploiting the errors: A simple approach for improved volatility forecasting. Journal of Econometrics 192 (</w:t>
      </w:r>
      <w:r w:rsidRPr="006D5593">
        <w:rPr>
          <w:rFonts w:ascii="Times New Roman" w:hAnsi="Times New Roman" w:cs="Times New Roman"/>
          <w:sz w:val="24"/>
          <w:szCs w:val="24"/>
        </w:rPr>
        <w:t>2015).</w:t>
      </w:r>
    </w:p>
    <w:p w14:paraId="4D322784" w14:textId="77777777" w:rsidR="002308A3" w:rsidRPr="006D5593" w:rsidRDefault="00FB1FFA">
      <w:pPr>
        <w:rPr>
          <w:rFonts w:ascii="Times New Roman" w:hAnsi="Times New Roman" w:cs="Times New Roman"/>
          <w:sz w:val="24"/>
          <w:szCs w:val="24"/>
        </w:rPr>
      </w:pPr>
      <w:r w:rsidRPr="006D559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D5593">
        <w:rPr>
          <w:rFonts w:ascii="Times New Roman" w:hAnsi="Times New Roman" w:cs="Times New Roman"/>
          <w:sz w:val="24"/>
          <w:szCs w:val="24"/>
        </w:rPr>
        <w:t>Corsi</w:t>
      </w:r>
      <w:proofErr w:type="spellEnd"/>
      <w:r w:rsidRPr="006D5593">
        <w:rPr>
          <w:rFonts w:ascii="Times New Roman" w:hAnsi="Times New Roman" w:cs="Times New Roman"/>
          <w:sz w:val="24"/>
          <w:szCs w:val="24"/>
        </w:rPr>
        <w:t xml:space="preserve"> F. A simple approximate long-memory model of realized volatility. Journal of Financial Econometrics 7(2), 174–196 (2009).</w:t>
      </w:r>
    </w:p>
    <w:sectPr w:rsidR="002308A3" w:rsidRPr="006D5593">
      <w:pgSz w:w="12240" w:h="15840"/>
      <w:pgMar w:top="1134" w:right="1361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41AC"/>
    <w:multiLevelType w:val="multilevel"/>
    <w:tmpl w:val="34A067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7C7865"/>
    <w:multiLevelType w:val="multilevel"/>
    <w:tmpl w:val="21702D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BD3A2F"/>
    <w:multiLevelType w:val="multilevel"/>
    <w:tmpl w:val="A3BE3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9133F4"/>
    <w:multiLevelType w:val="multilevel"/>
    <w:tmpl w:val="C2E442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6D2218"/>
    <w:multiLevelType w:val="multilevel"/>
    <w:tmpl w:val="3258A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2945529"/>
    <w:multiLevelType w:val="multilevel"/>
    <w:tmpl w:val="BD16A8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904F8D"/>
    <w:multiLevelType w:val="multilevel"/>
    <w:tmpl w:val="41E669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8A3"/>
    <w:rsid w:val="00105E19"/>
    <w:rsid w:val="002308A3"/>
    <w:rsid w:val="003E3F61"/>
    <w:rsid w:val="006D5593"/>
    <w:rsid w:val="00754122"/>
    <w:rsid w:val="00AD3CE5"/>
    <w:rsid w:val="00BC3224"/>
    <w:rsid w:val="00C50CF0"/>
    <w:rsid w:val="00D66660"/>
    <w:rsid w:val="00F3440B"/>
    <w:rsid w:val="00F7778C"/>
    <w:rsid w:val="00F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51E"/>
  <w15:docId w15:val="{F85D8AFF-C246-4659-88E6-4AB4299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618BF"/>
  </w:style>
  <w:style w:type="character" w:customStyle="1" w:styleId="FooterChar">
    <w:name w:val="Footer Char"/>
    <w:basedOn w:val="DefaultParagraphFont"/>
    <w:link w:val="Footer"/>
    <w:uiPriority w:val="99"/>
    <w:qFormat/>
    <w:rsid w:val="00E618BF"/>
  </w:style>
  <w:style w:type="character" w:customStyle="1" w:styleId="Heading1Char">
    <w:name w:val="Heading 1 Char"/>
    <w:basedOn w:val="DefaultParagraphFont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A1D8D"/>
  </w:style>
  <w:style w:type="character" w:customStyle="1" w:styleId="BodyText2Char">
    <w:name w:val="Body Text 2 Char"/>
    <w:basedOn w:val="DefaultParagraphFont"/>
    <w:link w:val="BodyText2"/>
    <w:uiPriority w:val="99"/>
    <w:qFormat/>
    <w:rsid w:val="00AA1D8D"/>
  </w:style>
  <w:style w:type="character" w:customStyle="1" w:styleId="BodyText3Char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customStyle="1" w:styleId="a">
    <w:name w:val="Выделение"/>
    <w:basedOn w:val="DefaultParagraphFont"/>
    <w:uiPriority w:val="20"/>
    <w:qFormat/>
    <w:rsid w:val="00FC693F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1">
    <w:name w:val="Указатель"/>
    <w:basedOn w:val="Normal"/>
    <w:qFormat/>
    <w:pPr>
      <w:suppressLineNumbers/>
    </w:pPr>
    <w:rPr>
      <w:rFonts w:cs="Lohit Devanagari"/>
    </w:rPr>
  </w:style>
  <w:style w:type="paragraph" w:customStyle="1" w:styleId="a2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FC693F"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a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3E3F6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0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1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urchenko.va@phystec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chikov.ae@phystec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Andrey Sadchikov</cp:lastModifiedBy>
  <cp:revision>11</cp:revision>
  <dcterms:created xsi:type="dcterms:W3CDTF">2013-12-23T23:15:00Z</dcterms:created>
  <dcterms:modified xsi:type="dcterms:W3CDTF">2025-03-05T15:03:00Z</dcterms:modified>
  <dc:language>ru-RU</dc:language>
</cp:coreProperties>
</file>