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ВЗАИМОСВЯЗИ </w:t>
      </w:r>
      <w:r>
        <w:rPr>
          <w:rFonts w:ascii="Times New Roman" w:hAnsi="Times New Roman"/>
          <w:b/>
          <w:sz w:val="24"/>
          <w:szCs w:val="24"/>
        </w:rPr>
        <w:t xml:space="preserve">ОБЪЁМОВ ТАМОЖЕННЫХ ПЛАТЕЖЕЙ С НАПРАВЛЕНИЯМИ ЭКСПОРТА И ИМПОРТА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Чернышук Екатерина Евгеньевна 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Аспирант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Донецкий государственный университет,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учетно-финансовый факультет, Донецк, Россия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i/>
          <w:sz w:val="24"/>
          <w:szCs w:val="24"/>
        </w:rPr>
        <w:t xml:space="preserve">-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10" w:tooltip="mailto:ketrin20145@yandex.ru" w:history="1">
        <w:r>
          <w:rPr>
            <w:rStyle w:val="835"/>
            <w:rFonts w:ascii="Times New Roman" w:hAnsi="Times New Roman"/>
            <w:i/>
            <w:sz w:val="24"/>
            <w:szCs w:val="24"/>
            <w:lang w:val="en-US"/>
          </w:rPr>
          <w:t xml:space="preserve">ketrin</w:t>
        </w:r>
        <w:r>
          <w:rPr>
            <w:rStyle w:val="835"/>
            <w:rFonts w:ascii="Times New Roman" w:hAnsi="Times New Roman"/>
            <w:i/>
            <w:sz w:val="24"/>
            <w:szCs w:val="24"/>
          </w:rPr>
          <w:t xml:space="preserve">20145@</w:t>
        </w:r>
        <w:r>
          <w:rPr>
            <w:rStyle w:val="835"/>
            <w:rFonts w:ascii="Times New Roman" w:hAnsi="Times New Roman"/>
            <w:i/>
            <w:sz w:val="24"/>
            <w:szCs w:val="24"/>
            <w:lang w:val="en-US"/>
          </w:rPr>
          <w:t xml:space="preserve">yandex</w:t>
        </w:r>
        <w:r>
          <w:rPr>
            <w:rStyle w:val="835"/>
            <w:rFonts w:ascii="Times New Roman" w:hAnsi="Times New Roman"/>
            <w:i/>
            <w:sz w:val="24"/>
            <w:szCs w:val="24"/>
          </w:rPr>
          <w:t xml:space="preserve">.</w:t>
        </w:r>
        <w:r>
          <w:rPr>
            <w:rStyle w:val="835"/>
            <w:rFonts w:ascii="Times New Roman" w:hAnsi="Times New Roman"/>
            <w:i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внешнеторговая деятельност</w:t>
      </w:r>
      <w:r>
        <w:rPr>
          <w:rFonts w:ascii="Times New Roman" w:hAnsi="Times New Roman"/>
          <w:sz w:val="24"/>
          <w:szCs w:val="24"/>
        </w:rPr>
        <w:t xml:space="preserve">ь России играет ключевую роль в международных отношениях с зарубежными государствами. Однако наполнение доходной части федерального бюджета за счет таможенных платежей на фоне меняющихся внешнеторговых отношений с рядом стран должно быть сбалансированным.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контексте фор</w:t>
      </w:r>
      <w:r>
        <w:rPr>
          <w:rFonts w:ascii="Times New Roman" w:hAnsi="Times New Roman"/>
          <w:sz w:val="24"/>
          <w:szCs w:val="24"/>
        </w:rPr>
        <w:t xml:space="preserve">мирования таможенной политики особенно важно направления потоков экспорта и импорта России.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Южный федеральный округ (</w:t>
      </w:r>
      <w:r>
        <w:rPr>
          <w:rFonts w:ascii="Times New Roman" w:hAnsi="Times New Roman"/>
          <w:sz w:val="24"/>
          <w:szCs w:val="24"/>
        </w:rPr>
        <w:t xml:space="preserve">далее - </w:t>
      </w:r>
      <w:r>
        <w:rPr>
          <w:rFonts w:ascii="Times New Roman" w:hAnsi="Times New Roman"/>
          <w:sz w:val="24"/>
          <w:szCs w:val="24"/>
        </w:rPr>
        <w:t xml:space="preserve">ЮФО) играет важную роль во внешнеторговой деятельности </w:t>
      </w:r>
      <w:r>
        <w:rPr>
          <w:rFonts w:ascii="Times New Roman" w:hAnsi="Times New Roman"/>
          <w:sz w:val="24"/>
          <w:szCs w:val="24"/>
        </w:rPr>
        <w:t xml:space="preserve">России</w:t>
      </w:r>
      <w:r>
        <w:rPr>
          <w:rFonts w:ascii="Times New Roman" w:hAnsi="Times New Roman"/>
          <w:sz w:val="24"/>
          <w:szCs w:val="24"/>
        </w:rPr>
        <w:t xml:space="preserve"> благодаря своему географическому положению, экономическому потенциалу и стратегическому расположению на границе с несколькими ключевыми торговыми партнёрами.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работы является оценка взаимосвязи доходов федерального бюджета за счёт таможенных платежей с динамикой внешней торговли ЮФО в разрезе стран-контрагентов. </w:t>
      </w:r>
      <w:r>
        <w:rPr>
          <w:rFonts w:ascii="Times New Roman" w:hAnsi="Times New Roman"/>
          <w:sz w:val="24"/>
          <w:szCs w:val="24"/>
        </w:rPr>
        <w:t xml:space="preserve">Анализ таможенных платежей на уровне округа может позволить более успешному формированию целевых установок взимания таможенных платежей для таможенных органов, а также определить более существенные направления стимулирования внешней торговли.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Традиционно, при ведении внешнеторговой статистики, страны-контрагенты подразделяются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страны дальнего зарубежья</w:t>
      </w:r>
      <w:r>
        <w:rPr>
          <w:rFonts w:ascii="Times New Roman" w:hAnsi="Times New Roman"/>
          <w:sz w:val="24"/>
          <w:szCs w:val="24"/>
        </w:rPr>
        <w:t xml:space="preserve"> (далее также - ДЗ)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государства, которые никогда не входили в состав Советского Союза; и страны Содружества Независимых Государств (далее – СНГ)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 полученным данным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[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  <w:highlight w:val="none"/>
        </w:rPr>
        <w:t xml:space="preserve"> можно сказать, что основная часть доходов федерального бюджета, формируемых за счёт таможенных платежей в ЮФО, сформированы за счет платежей уплачиваемых при ввозе товаров. Динамика таможенных платежей в округе неравномерная, наблюдается выраженная тенденция к росту. Отмечается</w:t>
      </w:r>
      <w:r>
        <w:rPr>
          <w:rFonts w:ascii="Times New Roman" w:hAnsi="Times New Roman"/>
          <w:sz w:val="24"/>
          <w:szCs w:val="24"/>
          <w:highlight w:val="none"/>
        </w:rPr>
        <w:t xml:space="preserve"> значительное превышение экспортных операций над импортными в исследуемом промежутке, с точки зрения сумм операций. Ключевое значение во внешней торговле ЮФО имеют внешнеторговые операции со странами дальнего  зарубежья. В целом тенденция совокупного внешнеторгового оборота складывается положительная </w:t>
      </w:r>
      <w:r>
        <w:rPr>
          <w:rFonts w:ascii="Times New Roman" w:hAnsi="Times New Roman"/>
          <w:sz w:val="24"/>
          <w:szCs w:val="24"/>
          <w:highlight w:val="none"/>
        </w:rPr>
        <w:t xml:space="preserve">(рис. 1)  </w:t>
      </w:r>
      <w:r/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4"/>
          <w:szCs w:val="24"/>
        </w:rPr>
      </w:pPr>
      <w:r/>
      <w:bookmarkStart w:id="0" w:name="_GoBack"/>
      <w:r>
        <w:rPr>
          <w:rFonts w:ascii="Times New Roman" w:hAnsi="Times New Roman"/>
          <w:i/>
          <w:sz w:val="24"/>
          <w:szCs w:val="24"/>
          <w:lang w:eastAsia="ru-RU"/>
        </w:rPr>
        <w:drawing>
          <wp:inline distT="0" distB="0" distL="0" distR="0">
            <wp:extent cx="5486400" cy="2143999"/>
            <wp:effectExtent l="4763" t="4763" r="4763" b="476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</w:t>
      </w:r>
      <w:r>
        <w:rPr>
          <w:rFonts w:ascii="Times New Roman" w:hAnsi="Times New Roman"/>
          <w:sz w:val="24"/>
          <w:szCs w:val="24"/>
        </w:rPr>
        <w:t xml:space="preserve">сунок 1. </w:t>
      </w:r>
      <w:r>
        <w:rPr>
          <w:rFonts w:ascii="Times New Roman" w:hAnsi="Times New Roman"/>
          <w:sz w:val="24"/>
          <w:szCs w:val="24"/>
        </w:rPr>
        <w:t xml:space="preserve">Дин</w:t>
      </w:r>
      <w:r>
        <w:rPr>
          <w:rFonts w:ascii="Times New Roman" w:hAnsi="Times New Roman"/>
          <w:sz w:val="24"/>
          <w:szCs w:val="24"/>
        </w:rPr>
        <w:t xml:space="preserve">амика сумм таможенных платежей</w:t>
      </w:r>
      <w:r>
        <w:rPr>
          <w:rFonts w:ascii="Times New Roman" w:hAnsi="Times New Roman"/>
          <w:sz w:val="24"/>
          <w:szCs w:val="24"/>
        </w:rPr>
        <w:t xml:space="preserve">, во взаимосвязи с объёмами внешнеторговых операций в ЮФО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По статистическим данным Южного таможенного управления </w:t>
      </w:r>
      <w:r>
        <w:rPr>
          <w:rFonts w:ascii="Times New Roman" w:hAnsi="Times New Roman"/>
          <w:sz w:val="24"/>
          <w:szCs w:val="24"/>
        </w:rPr>
        <w:t xml:space="preserve">[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]</w:t>
      </w:r>
      <w:r>
        <w:rPr>
          <w:rFonts w:ascii="Times New Roman" w:hAnsi="Times New Roman"/>
          <w:sz w:val="24"/>
          <w:szCs w:val="24"/>
          <w:highlight w:val="none"/>
        </w:rPr>
        <w:t xml:space="preserve"> экспортные платежи в целом повторяют динамику изменения экспортных товаропотоков, что позволяет предположить о существенной взаимосвязь с количеством экспорта. </w:t>
      </w:r>
      <w:r>
        <w:rPr>
          <w:rFonts w:ascii="Times New Roman" w:hAnsi="Times New Roman"/>
          <w:sz w:val="24"/>
          <w:szCs w:val="24"/>
          <w:highlight w:val="none"/>
        </w:rPr>
        <w:t xml:space="preserve">В свою очередь постоянный рост импортных платежей, при достаточно стабильных объёмах импорта в округе, говорит о большем влиянии импортного тарифа</w:t>
      </w:r>
      <w:r>
        <w:rPr>
          <w:rFonts w:ascii="Times New Roman" w:hAnsi="Times New Roman"/>
          <w:sz w:val="24"/>
          <w:szCs w:val="24"/>
          <w:highlight w:val="none"/>
        </w:rPr>
        <w:t xml:space="preserve"> и менее существенной связи с объемами торговли.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Проверка выдвинутых гипотез проводилась посредством расчёта парных коэффициентов корреляции (табл. 1).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Таблица 1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Корреляционная взаимосвязь таможенных платежей с 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направлениями экспорта и импорта ЮФО 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 w:bidi="ru-RU"/>
        </w:rPr>
      </w:r>
    </w:p>
    <w:tbl>
      <w:tblPr>
        <w:tblStyle w:val="838"/>
        <w:tblW w:w="0" w:type="auto"/>
        <w:tblInd w:w="108" w:type="dxa"/>
        <w:tblLook w:val="04A0" w:firstRow="1" w:lastRow="0" w:firstColumn="1" w:lastColumn="0" w:noHBand="0" w:noVBand="1"/>
      </w:tblPr>
      <w:tblGrid>
        <w:gridCol w:w="4165"/>
        <w:gridCol w:w="1592"/>
        <w:gridCol w:w="1473"/>
        <w:gridCol w:w="2062"/>
      </w:tblGrid>
      <w:tr>
        <w:tblPrEx/>
        <w:trPr/>
        <w:tc>
          <w:tcPr>
            <w:tcW w:w="41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товаропотоков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Парный коэффициент корреляции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Экспорт в страны дальнего зарубежья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0,77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сильная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Доходы от экспорта товаров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Экспорт в страны СНГ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0,79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сильная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Импорт в страны дальнего зарубежья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0,64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умеренная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Доходы от импорта товаров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1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Импорт в страны СНГ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pStyle w:val="840"/>
        <w:ind w:left="0" w:firstLine="42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Экспорт ЮФО образует сильную взаимосвязь </w:t>
      </w:r>
      <w:r>
        <w:rPr>
          <w:sz w:val="24"/>
          <w:szCs w:val="24"/>
        </w:rPr>
        <w:t xml:space="preserve">с вывозной таможенной пошлиной. Сильный характер связи обусловлен товарной структурой экспорта. Так </w:t>
      </w:r>
      <w:r>
        <w:rPr>
          <w:color w:val="000000"/>
          <w:sz w:val="24"/>
          <w:szCs w:val="24"/>
          <w:lang w:bidi="ar-SA"/>
        </w:rPr>
        <w:t xml:space="preserve">п</w:t>
      </w:r>
      <w:r>
        <w:rPr>
          <w:color w:val="000000"/>
          <w:sz w:val="24"/>
          <w:szCs w:val="24"/>
          <w:lang w:bidi="ar-SA"/>
        </w:rPr>
        <w:t xml:space="preserve">родовольственные товары и сельскохозяйственное сырье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составляют порядка 45% экспорта, м</w:t>
      </w:r>
      <w:r>
        <w:rPr>
          <w:sz w:val="24"/>
          <w:szCs w:val="24"/>
        </w:rPr>
        <w:t xml:space="preserve">инеральные продукты</w:t>
      </w:r>
      <w:r>
        <w:rPr>
          <w:sz w:val="24"/>
          <w:szCs w:val="24"/>
        </w:rPr>
        <w:t xml:space="preserve"> – 27%, </w:t>
      </w:r>
      <w:r>
        <w:rPr>
          <w:color w:val="000000"/>
          <w:sz w:val="24"/>
          <w:szCs w:val="24"/>
          <w:lang w:bidi="ar-SA"/>
        </w:rPr>
        <w:t xml:space="preserve">м</w:t>
      </w:r>
      <w:r>
        <w:rPr>
          <w:color w:val="000000"/>
          <w:sz w:val="24"/>
          <w:szCs w:val="24"/>
          <w:lang w:bidi="ar-SA"/>
        </w:rPr>
        <w:t xml:space="preserve">еталлы и изделия из них</w:t>
      </w:r>
      <w:r>
        <w:rPr>
          <w:color w:val="000000"/>
          <w:sz w:val="24"/>
          <w:szCs w:val="24"/>
          <w:lang w:bidi="ar-SA"/>
        </w:rPr>
        <w:t xml:space="preserve"> – 10%. </w:t>
      </w:r>
      <w:r>
        <w:rPr>
          <w:color w:val="000000"/>
          <w:sz w:val="24"/>
          <w:szCs w:val="24"/>
          <w:lang w:bidi="ar-SA"/>
        </w:rPr>
        <w:t xml:space="preserve">Именно д</w:t>
      </w:r>
      <w:r>
        <w:rPr>
          <w:color w:val="000000"/>
          <w:sz w:val="24"/>
          <w:szCs w:val="24"/>
          <w:lang w:bidi="ar-SA"/>
        </w:rPr>
        <w:t xml:space="preserve">анные группы товаров облагаются наиболее высокими ставками вывозных таможенных пошлин. Отметим, что </w:t>
      </w:r>
      <w:r>
        <w:rPr>
          <w:color w:val="000000"/>
          <w:sz w:val="24"/>
          <w:szCs w:val="24"/>
          <w:lang w:bidi="ar-SA"/>
        </w:rPr>
        <w:t xml:space="preserve">несмотря на упрощение взаимной торговли со странами СНГ, экспорт в такие страны подлежит обложению вывозными таможенными пошлинами (за исключением ЕАЭС).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Доходы от импорта товаров образуют умеренную связь с торговлей со странами дальнего зарубежья.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азмер этих платежей напрямую зависит от стоимости, количества и особенностей товаров, ввозимых на территорию страны из стран, не входящих в таможенные союзы.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Стоит отметить повышенные ставки ввозных таможенных пошлин на отдельные товары, ввозимые из недружественных стран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Связь платежей с импортом из стран СНГ отсутствует, что логично, т.к. при взаимной торговле применяются более мягкие условия. Большинство стран являются странами-участницами ЕАЭС, при торговле с которыми товары освобождаются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от таможенных платежей, д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ля остальных стран СНГ действуют тарифные преференции и льготы.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завершении отметим, что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зменение структуры внешней торговли, меняющиеся внешнеторговые отношени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ряда государств по отношению к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влечёт за собой необходимость адаптации политики таможенно-тарифного регулирования при соблюдении баланса защиты национальных интересов государства и способствованию внешней торговли.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сложившихся условиях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требуется анализ направления товарных потоков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их влияния на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доходы федерального бюджета от таможенных платежей для выработки более универсальной таможенной политики.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none"/>
          <w:lang w:eastAsia="ru-RU"/>
        </w:rPr>
        <w:t xml:space="preserve">Ввиду более существенной связи экспортных операций с таможенным платежами, необходима разработка мер по упрощению и стимулированию экспортных операций в округе.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итература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r>
    </w:p>
    <w:p>
      <w:pPr>
        <w:pStyle w:val="840"/>
        <w:numPr>
          <w:ilvl w:val="0"/>
          <w:numId w:val="1"/>
        </w:numPr>
        <w:ind w:left="0" w:right="0" w:firstLine="426"/>
        <w:spacing w:line="240" w:lineRule="auto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Постановление Правительства РФ от 07.12.20</w:t>
      </w:r>
      <w:r>
        <w:rPr>
          <w:bCs/>
          <w:iCs/>
          <w:color w:val="000000"/>
          <w:sz w:val="24"/>
          <w:szCs w:val="24"/>
        </w:rPr>
        <w:t xml:space="preserve">22 N 2240 (ред. от 30.12.2024) «</w:t>
      </w:r>
      <w:r>
        <w:rPr>
          <w:bCs/>
          <w:iCs/>
          <w:color w:val="000000"/>
          <w:sz w:val="24"/>
          <w:szCs w:val="24"/>
        </w:rPr>
        <w:t xml:space="preserve">Об утверждении ставок ввозных таможенных пошлин в отношении отдельных товаров, страной происхождения которых являются государства и территории, предпринимающие меры, которые нарушают экономически</w:t>
      </w:r>
      <w:r>
        <w:rPr>
          <w:bCs/>
          <w:iCs/>
          <w:color w:val="000000"/>
          <w:sz w:val="24"/>
          <w:szCs w:val="24"/>
        </w:rPr>
        <w:t xml:space="preserve">е интересы Российской Федерации»;</w:t>
      </w:r>
      <w:r>
        <w:rPr>
          <w:bCs/>
          <w:iCs/>
          <w:color w:val="000000"/>
          <w:sz w:val="24"/>
          <w:szCs w:val="24"/>
        </w:rPr>
      </w:r>
      <w:r>
        <w:rPr>
          <w:bCs/>
          <w:iCs/>
          <w:color w:val="000000"/>
          <w:sz w:val="24"/>
          <w:szCs w:val="24"/>
        </w:rPr>
      </w:r>
    </w:p>
    <w:p>
      <w:pPr>
        <w:pStyle w:val="840"/>
        <w:numPr>
          <w:ilvl w:val="0"/>
          <w:numId w:val="1"/>
        </w:numPr>
        <w:ind w:left="0" w:right="0" w:firstLine="426"/>
        <w:spacing w:line="240" w:lineRule="auto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https://yutu.customs.gov.ru/ </w:t>
      </w:r>
      <w:r>
        <w:rPr>
          <w:bCs/>
          <w:iCs/>
          <w:color w:val="000000"/>
          <w:sz w:val="24"/>
          <w:szCs w:val="24"/>
        </w:rPr>
        <w:t xml:space="preserve">(Южное таможенное управление).</w:t>
      </w:r>
      <w:r>
        <w:rPr>
          <w:bCs/>
          <w:iCs/>
          <w:color w:val="000000"/>
          <w:sz w:val="24"/>
          <w:szCs w:val="24"/>
        </w:rPr>
      </w:r>
      <w:r>
        <w:rPr>
          <w:bCs/>
          <w:iCs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361" w:bottom="1134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6" w:customStyle="1">
    <w:name w:val="docdat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3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9" w:customStyle="1">
    <w:name w:val="1578"/>
    <w:basedOn w:val="832"/>
  </w:style>
  <w:style w:type="paragraph" w:styleId="840">
    <w:name w:val="List Paragraph"/>
    <w:basedOn w:val="831"/>
    <w:uiPriority w:val="34"/>
    <w:qFormat/>
    <w:pPr>
      <w:contextualSpacing/>
      <w:ind w:left="720" w:firstLine="709"/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lang w:eastAsia="ru-RU" w:bidi="ru-RU"/>
    </w:rPr>
  </w:style>
  <w:style w:type="character" w:styleId="841">
    <w:name w:val="Strong"/>
    <w:basedOn w:val="83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etrin20145@yandex.ru" TargetMode="External"/><Relationship Id="rId11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Экспорт ДЗ, тыс. долл. США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 xml:space="preserve">#\ ##0.00\ \ </c:formatCode>
                <c:ptCount val="7"/>
                <c:pt idx="0">
                  <c:v>11250383889.35999</c:v>
                </c:pt>
                <c:pt idx="1">
                  <c:v>10689023585.629988</c:v>
                </c:pt>
                <c:pt idx="2">
                  <c:v>13616859974.680023</c:v>
                </c:pt>
                <c:pt idx="3">
                  <c:v>17317048810.12999</c:v>
                </c:pt>
                <c:pt idx="4">
                  <c:v>14896239232.27</c:v>
                </c:pt>
                <c:pt idx="5">
                  <c:v>13674455921.599993</c:v>
                </c:pt>
                <c:pt idx="6">
                  <c:v>19439970498.82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Экспорт СНГ, тыс. долл. США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Лист1!$C$2:$C$8</c:f>
              <c:numCache>
                <c:formatCode xml:space="preserve">#\ ##0.00\ \ </c:formatCode>
                <c:ptCount val="7"/>
                <c:pt idx="0">
                  <c:v>2331436108.2999954</c:v>
                </c:pt>
                <c:pt idx="1">
                  <c:v>2112344471.2199965</c:v>
                </c:pt>
                <c:pt idx="2">
                  <c:v>2598455635.3699913</c:v>
                </c:pt>
                <c:pt idx="3">
                  <c:v>3097872804.6599946</c:v>
                </c:pt>
                <c:pt idx="4">
                  <c:v>2937612049.1499996</c:v>
                </c:pt>
                <c:pt idx="5">
                  <c:v>3344491229.499999</c:v>
                </c:pt>
                <c:pt idx="6">
                  <c:v>4077089033.9699984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Импорт ДЗ, тыс. долл. США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Лист1!$D$2:$D$8</c:f>
              <c:numCache>
                <c:formatCode xml:space="preserve">#\ ##0.00\ \ </c:formatCode>
                <c:ptCount val="7"/>
                <c:pt idx="0">
                  <c:v>6078286166.030001</c:v>
                </c:pt>
                <c:pt idx="1">
                  <c:v>5352326373.760008</c:v>
                </c:pt>
                <c:pt idx="2">
                  <c:v>6710401853.790011</c:v>
                </c:pt>
                <c:pt idx="3">
                  <c:v>7355262667.109993</c:v>
                </c:pt>
                <c:pt idx="4">
                  <c:v>6393228128.000004</c:v>
                </c:pt>
                <c:pt idx="5">
                  <c:v>6434072914.990001</c:v>
                </c:pt>
                <c:pt idx="6">
                  <c:v>7805139926.090006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 xml:space="preserve">Импорт СНГ, тыс. долл. США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Лист1!$E$2:$E$8</c:f>
              <c:numCache>
                <c:formatCode xml:space="preserve">#\ ##0.00\ \ </c:formatCode>
                <c:ptCount val="7"/>
                <c:pt idx="0">
                  <c:v>1385931444.9400005</c:v>
                </c:pt>
                <c:pt idx="1">
                  <c:v>1656926631.3199992</c:v>
                </c:pt>
                <c:pt idx="2">
                  <c:v>1868818990.3000011</c:v>
                </c:pt>
                <c:pt idx="3">
                  <c:v>2067876850.5900013</c:v>
                </c:pt>
                <c:pt idx="4">
                  <c:v>1827139755.5400014</c:v>
                </c:pt>
                <c:pt idx="5">
                  <c:v>1690948066.3099995</c:v>
                </c:pt>
                <c:pt idx="6">
                  <c:v>1802384138.2400007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219"/>
        <c:axId val="1372029567"/>
        <c:axId val="1372030399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 xml:space="preserve">Доходы от импорта товаров, млрд. руб.</c:v>
                </c:pt>
              </c:strCache>
            </c:strRef>
          </c:tx>
          <c:spPr bwMode="auto">
            <a:prstGeom prst="rect">
              <a:avLst/>
            </a:prstGeom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119.27</c:v>
                </c:pt>
                <c:pt idx="1">
                  <c:v>117.5</c:v>
                </c:pt>
                <c:pt idx="2">
                  <c:v>111.94</c:v>
                </c:pt>
                <c:pt idx="3">
                  <c:v>120.71</c:v>
                </c:pt>
                <c:pt idx="4">
                  <c:v>130.54</c:v>
                </c:pt>
                <c:pt idx="5">
                  <c:v>145.26</c:v>
                </c:pt>
                <c:pt idx="6">
                  <c:v>210.96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 xml:space="preserve">Доходы от экспорта товаров, млрд. руб.</c:v>
                </c:pt>
              </c:strCache>
            </c:strRef>
          </c:tx>
          <c:spPr bwMode="auto">
            <a:prstGeom prst="rect">
              <a:avLst/>
            </a:prstGeom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6.98</c:v>
                </c:pt>
                <c:pt idx="1">
                  <c:v>1.9</c:v>
                </c:pt>
                <c:pt idx="2">
                  <c:v>5.29</c:v>
                </c:pt>
                <c:pt idx="3">
                  <c:v>12.57</c:v>
                </c:pt>
                <c:pt idx="4">
                  <c:v>20.72</c:v>
                </c:pt>
                <c:pt idx="5">
                  <c:v>4.47</c:v>
                </c:pt>
                <c:pt idx="6">
                  <c:v>110.31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1418634063"/>
        <c:axId val="1372031647"/>
      </c:lineChart>
      <c:catAx>
        <c:axId val="137202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1372030399"/>
        <c:crosses val="autoZero"/>
        <c:auto val="1"/>
        <c:lblAlgn val="ctr"/>
        <c:lblOffset val="100"/>
        <c:noMultiLvlLbl val="0"/>
      </c:catAx>
      <c:valAx>
        <c:axId val="1372030399"/>
        <c:scaling>
          <c:orientation val="minMax"/>
          <c:max val="20000000000.000000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1372029567"/>
        <c:crosses val="autoZero"/>
        <c:crossBetween val="between"/>
      </c:valAx>
      <c:valAx>
        <c:axId val="1372031647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ysClr val="windowText" lastClr="000000"/>
                </a:solidFill>
                <a:latin typeface="Times New Roman"/>
                <a:ea typeface="Arial"/>
                <a:cs typeface="Times New Roman"/>
              </a:defRPr>
            </a:pPr>
            <a:endParaRPr lang="ru-RU"/>
          </a:p>
        </c:txPr>
        <c:crossAx val="1418634063"/>
        <c:crosses val="max"/>
        <c:crossBetween val="between"/>
      </c:valAx>
      <c:catAx>
        <c:axId val="141863406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72031647"/>
        <c:crosses val="autoZero"/>
        <c:auto val="1"/>
        <c:lblAlgn val="ctr"/>
        <c:lblOffset val="100"/>
        <c:noMultiLvlLbl val="0"/>
      </c:catAx>
      <c:spPr bwMode="auto">
        <a:prstGeom prst="rect">
          <a:avLst/>
        </a:prstGeom>
        <a:noFill/>
        <a:ln>
          <a:noFill/>
        </a:ln>
        <a:effectLst/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ysClr val="windowText" lastClr="000000"/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486400" cy="2143998"/>
    </a:xfrm>
    <a:prstGeom prst="rect">
      <a:avLst/>
    </a:prstGeom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/>
          <a:cs typeface="Times New Roman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4CBD-EDF7-44BD-BE9C-AF346505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Чернышук Екатерина Евгеньевна</dc:creator>
  <cp:keywords/>
  <dc:description/>
  <cp:lastModifiedBy>Катерина Чернышук</cp:lastModifiedBy>
  <cp:revision>5</cp:revision>
  <dcterms:created xsi:type="dcterms:W3CDTF">2025-03-05T11:10:00Z</dcterms:created>
  <dcterms:modified xsi:type="dcterms:W3CDTF">2025-03-06T09:15:09Z</dcterms:modified>
</cp:coreProperties>
</file>